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Johnson Controls International (JCI)</w:t>
      </w:r>
    </w:p>
    <w:p>
      <w:pPr>
        <w:pStyle w:val="Heading2"/>
      </w:pPr>
      <w:r>
        <w:rPr>
          <w:rFonts w:ascii="Calibri" w:hAnsi="Calibri"/>
          <w:b/>
          <w:color w:val="3B4259"/>
          <w:sz w:val="28"/>
        </w:rPr>
        <w:t>Fiscal Q3 2026 Earnings Preview</w:t>
      </w:r>
    </w:p>
    <w:p>
      <w:r>
        <w:rPr>
          <w:rFonts w:ascii="Calibri" w:hAnsi="Calibri"/>
          <w:b/>
          <w:color w:val="525866"/>
          <w:sz w:val="22"/>
        </w:rPr>
        <w:t xml:space="preserve">Earnings Date: </w:t>
      </w:r>
      <w:r>
        <w:rPr>
          <w:rFonts w:ascii="Calibri" w:hAnsi="Calibri"/>
          <w:color w:val="525866"/>
          <w:sz w:val="22"/>
        </w:rPr>
        <w:t xml:space="preserve">July 29, 2026  </w:t>
      </w:r>
      <w:r>
        <w:rPr>
          <w:rFonts w:ascii="Calibri" w:hAnsi="Calibri"/>
          <w:b/>
          <w:color w:val="525866"/>
          <w:sz w:val="22"/>
        </w:rPr>
        <w:t xml:space="preserve">  |  Prepared: </w:t>
      </w:r>
      <w:r>
        <w:rPr>
          <w:rFonts w:ascii="Calibri" w:hAnsi="Calibri"/>
          <w:color w:val="525866"/>
          <w:sz w:val="22"/>
        </w:rPr>
        <w:t xml:space="preserve">July 28, 2026  </w:t>
      </w:r>
      <w:r>
        <w:rPr>
          <w:rFonts w:ascii="Calibri" w:hAnsi="Calibri"/>
          <w:b/>
          <w:color w:val="525866"/>
          <w:sz w:val="22"/>
        </w:rPr>
        <w:t xml:space="preserve">  |  Fiscal Period: </w:t>
      </w:r>
      <w:r>
        <w:rPr>
          <w:rFonts w:ascii="Calibri" w:hAnsi="Calibri"/>
          <w:color w:val="525866"/>
          <w:sz w:val="22"/>
        </w:rPr>
        <w:t xml:space="preserve">3Q FY2026 (quarter ending June 30, 2026)  </w:t>
      </w:r>
      <w:r>
        <w:rPr>
          <w:rFonts w:ascii="Calibri" w:hAnsi="Calibri"/>
          <w:b/>
          <w:color w:val="525866"/>
          <w:sz w:val="22"/>
        </w:rPr>
        <w:t xml:space="preserve">  |  Sector ETF Benchmark: </w:t>
      </w:r>
      <w:r>
        <w:rPr>
          <w:rFonts w:ascii="Calibri" w:hAnsi="Calibri"/>
          <w:color w:val="525866"/>
          <w:sz w:val="22"/>
        </w:rPr>
        <w:t>XLI (Industrials Select Sector SPDR)</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easy — consensus is a moderate bar after two consecutive strong beats, and the single biggest swing factor is whether orders growth sustains above 20% organically, validating the data center demand thesis heading into the back half of FY2026.</w:t>
      </w:r>
    </w:p>
    <w:p>
      <w:r>
        <w:rPr>
          <w:rFonts w:ascii="Calibri" w:hAnsi="Calibri"/>
          <w:color w:val="525866"/>
          <w:sz w:val="22"/>
        </w:rPr>
        <w:t xml:space="preserve">JCI heads into its fiscal Q3 2026 print with a well-defined but not trivial bar: consensus calls for ~$1.30 adjusted EPS (up ~24% YoY) and ~$6.45B in revenue (up ~7% organically), both consistent with the guidance management issued on the May 6 Q2 call. </w:t>
      </w:r>
      <w:r>
        <w:rPr>
          <w:rFonts w:ascii="Calibri" w:hAnsi="Calibri"/>
          <w:b/>
          <w:color w:val="525866"/>
          <w:sz w:val="22"/>
        </w:rPr>
        <w:t>Management's tone has been consistently confident and escalating</w:t>
      </w:r>
      <w:r>
        <w:rPr>
          <w:rFonts w:ascii="Calibri" w:hAnsi="Calibri"/>
          <w:color w:val="525866"/>
          <w:sz w:val="22"/>
        </w:rPr>
        <w:t xml:space="preserve"> — the June 1 Gemba Day reaffirmed the long-term algorithm and upgraded the organic growth target from mid-single-digit to high-single-digit, signaling conviction in the data center and life sciences demand cycle. Estimate revisions have been modestly positive since the Q2 print, with FY2026 EPS consensus drifting from ~$4.87 to ~$4.90, suggesting the Street is incrementally constructive but not aggressively chasing numbers higher. </w:t>
      </w:r>
      <w:r>
        <w:rPr>
          <w:rFonts w:ascii="Calibri" w:hAnsi="Calibri"/>
          <w:b/>
          <w:color w:val="525866"/>
          <w:sz w:val="22"/>
        </w:rPr>
        <w:t>The stock has underperformed XLI by roughly 5 percentage points since the Q2 earnings date</w:t>
      </w:r>
      <w:r>
        <w:rPr>
          <w:rFonts w:ascii="Calibri" w:hAnsi="Calibri"/>
          <w:color w:val="525866"/>
          <w:sz w:val="22"/>
        </w:rPr>
        <w:t xml:space="preserve">, trading near $140 versus a post-earnings high of ~$148, which implies the market is waiting for execution proof rather than pricing in another beat. The key wildcard is </w:t>
      </w:r>
      <w:r>
        <w:rPr>
          <w:rFonts w:ascii="Calibri" w:hAnsi="Calibri"/>
          <w:b/>
          <w:color w:val="525866"/>
          <w:sz w:val="22"/>
        </w:rPr>
        <w:t>orders growth momentum</w:t>
      </w:r>
      <w:r>
        <w:rPr>
          <w:rFonts w:ascii="Calibri" w:hAnsi="Calibri"/>
          <w:color w:val="525866"/>
          <w:sz w:val="22"/>
        </w:rPr>
        <w:t>: after 39% in Q1 and 30% in Q2, any deceleration below ~15–20% organically would raise questions about demand durability and backlog conversion timing, while a sustained 25%+ print would likely re-rate the stock toward prior highs. Peer commentary from Carrier (data center orders up 4x YoY in Q2) and Honeywell Technologies (building automation orders up 50%+ in high-growth verticals) provides strong corroborating evidence that the demand environment remains robust heading into JCI's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on EPS (~$1.30, +24% YoY) and revenue (~$6.45B, +7% organic), both in line with management's own Q3 guide. </w:t>
      </w:r>
      <w:r>
        <w:rPr>
          <w:rFonts w:ascii="Calibri" w:hAnsi="Calibri"/>
          <w:b/>
          <w:color w:val="525866"/>
          <w:sz w:val="22"/>
        </w:rPr>
        <w:t>Orders growth is the bigger swing factor</w:t>
      </w:r>
      <w:r>
        <w:rPr>
          <w:rFonts w:ascii="Calibri" w:hAnsi="Calibri"/>
          <w:color w:val="525866"/>
          <w:sz w:val="22"/>
        </w:rPr>
        <w:t xml:space="preserve"> — the Street has no formal consensus estimate for this KPI, making it the primary source of surprise (positive or negative) on print day.</w:t>
      </w:r>
    </w:p>
    <w:p>
      <w:pPr>
        <w:pStyle w:val="Heading3"/>
      </w:pPr>
      <w:r>
        <w:rPr>
          <w:rFonts w:ascii="Calibri" w:hAnsi="Calibri"/>
          <w:b/>
          <w:color w:val="3B4259"/>
          <w:sz w:val="24"/>
        </w:rPr>
        <w:t>Table 1 — Current Quarter Snapshot (3Q FY2026,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(2Q FY2026)</w:t>
            </w:r>
          </w:p>
        </w:tc>
        <w:tc>
          <w:tcPr>
            <w:tcW w:type="dxa" w:w="1234"/>
            <w:shd w:val="clear" w:color="auto" w:fill="3B4259"/>
          </w:tcPr>
          <w:p>
            <w:r>
              <w:rPr>
                <w:rFonts w:ascii="Calibri" w:hAnsi="Calibri"/>
                <w:b/>
                <w:color w:val="FFFFFF"/>
                <w:sz w:val="22"/>
              </w:rPr>
              <w:t>Prior Year Period (3Q FY2025)</w:t>
            </w:r>
          </w:p>
        </w:tc>
        <w:tc>
          <w:tcPr>
            <w:tcW w:type="dxa" w:w="1234"/>
            <w:shd w:val="clear" w:color="auto" w:fill="3B4259"/>
          </w:tcPr>
          <w:p>
            <w:r>
              <w:rPr>
                <w:rFonts w:ascii="Calibri" w:hAnsi="Calibri"/>
                <w:b/>
                <w:color w:val="FFFFFF"/>
                <w:sz w:val="22"/>
              </w:rPr>
              <w:t>Consensus Estimate (3Q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 (3Q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$1.19</w:t>
            </w:r>
          </w:p>
        </w:tc>
        <w:tc>
          <w:tcPr>
            <w:tcW w:type="dxa" w:w="1234"/>
          </w:tcPr>
          <w:p>
            <w:r>
              <w:rPr>
                <w:rFonts w:ascii="Calibri" w:hAnsi="Calibri"/>
                <w:sz w:val="22"/>
              </w:rPr>
              <w:t>$1.05</w:t>
            </w:r>
          </w:p>
        </w:tc>
        <w:tc>
          <w:tcPr>
            <w:tcW w:type="dxa" w:w="1234"/>
          </w:tcPr>
          <w:p>
            <w:r>
              <w:rPr>
                <w:rFonts w:ascii="Calibri" w:hAnsi="Calibri"/>
                <w:sz w:val="22"/>
              </w:rPr>
              <w:t>$1.30</w:t>
            </w:r>
          </w:p>
        </w:tc>
        <w:tc>
          <w:tcPr>
            <w:tcW w:type="dxa" w:w="1234"/>
          </w:tcPr>
          <w:p>
            <w:r>
              <w:rPr>
                <w:rFonts w:ascii="Calibri" w:hAnsi="Calibri"/>
                <w:sz w:val="22"/>
              </w:rPr>
              <w:t>+24%</w:t>
            </w:r>
          </w:p>
        </w:tc>
        <w:tc>
          <w:tcPr>
            <w:tcW w:type="dxa" w:w="1234"/>
          </w:tcPr>
          <w:p>
            <w:r>
              <w:rPr>
                <w:rFonts w:ascii="Calibri" w:hAnsi="Calibri"/>
                <w:sz w:val="22"/>
              </w:rPr>
              <w:t>~$1.28</w:t>
            </w:r>
          </w:p>
        </w:tc>
        <w:tc>
          <w:tcPr>
            <w:tcW w:type="dxa" w:w="1234"/>
          </w:tcPr>
          <w:p>
            <w:r>
              <w:rPr>
                <w:rFonts w:ascii="Calibri" w:hAnsi="Calibri"/>
                <w:sz w:val="22"/>
              </w:rPr>
              <w:t>+1.6% above guide midpoint</w:t>
            </w:r>
          </w:p>
        </w:tc>
      </w:tr>
      <w:tr>
        <w:tc>
          <w:tcPr>
            <w:tcW w:type="dxa" w:w="1234"/>
          </w:tcPr>
          <w:p>
            <w:r>
              <w:rPr>
                <w:rFonts w:ascii="Calibri" w:hAnsi="Calibri"/>
                <w:sz w:val="22"/>
              </w:rPr>
              <w:t>Net Revenue (Operating)</w:t>
            </w:r>
          </w:p>
        </w:tc>
        <w:tc>
          <w:tcPr>
            <w:tcW w:type="dxa" w:w="1234"/>
          </w:tcPr>
          <w:p>
            <w:r>
              <w:rPr>
                <w:rFonts w:ascii="Calibri" w:hAnsi="Calibri"/>
                <w:sz w:val="22"/>
              </w:rPr>
              <w:t>$6.14B</w:t>
            </w:r>
          </w:p>
        </w:tc>
        <w:tc>
          <w:tcPr>
            <w:tcW w:type="dxa" w:w="1234"/>
          </w:tcPr>
          <w:p>
            <w:r>
              <w:rPr>
                <w:rFonts w:ascii="Calibri" w:hAnsi="Calibri"/>
                <w:sz w:val="22"/>
              </w:rPr>
              <w:t>$6.05B</w:t>
            </w:r>
          </w:p>
        </w:tc>
        <w:tc>
          <w:tcPr>
            <w:tcW w:type="dxa" w:w="1234"/>
          </w:tcPr>
          <w:p>
            <w:r>
              <w:rPr>
                <w:rFonts w:ascii="Calibri" w:hAnsi="Calibri"/>
                <w:sz w:val="22"/>
              </w:rPr>
              <w:t>$6.45B</w:t>
            </w:r>
          </w:p>
        </w:tc>
        <w:tc>
          <w:tcPr>
            <w:tcW w:type="dxa" w:w="1234"/>
          </w:tcPr>
          <w:p>
            <w:r>
              <w:rPr>
                <w:rFonts w:ascii="Calibri" w:hAnsi="Calibri"/>
                <w:sz w:val="22"/>
              </w:rPr>
              <w:t>+6.6%</w:t>
            </w:r>
          </w:p>
        </w:tc>
        <w:tc>
          <w:tcPr>
            <w:tcW w:type="dxa" w:w="1234"/>
          </w:tcPr>
          <w:p>
            <w:r>
              <w:rPr>
                <w:rFonts w:ascii="Calibri" w:hAnsi="Calibri"/>
                <w:sz w:val="22"/>
              </w:rPr>
              <w:t>~6% organic growth</w:t>
            </w:r>
          </w:p>
        </w:tc>
        <w:tc>
          <w:tcPr>
            <w:tcW w:type="dxa" w:w="1234"/>
          </w:tcPr>
          <w:p>
            <w:r>
              <w:rPr>
                <w:rFonts w:ascii="Calibri" w:hAnsi="Calibri"/>
                <w:sz w:val="22"/>
              </w:rPr>
              <w:t>In line with guide</w:t>
            </w:r>
          </w:p>
        </w:tc>
      </w:tr>
      <w:tr>
        <w:tc>
          <w:tcPr>
            <w:tcW w:type="dxa" w:w="1234"/>
          </w:tcPr>
          <w:p>
            <w:r>
              <w:rPr>
                <w:rFonts w:ascii="Calibri" w:hAnsi="Calibri"/>
                <w:sz w:val="22"/>
              </w:rPr>
              <w:t>EBITA Margin (Operating)</w:t>
            </w:r>
          </w:p>
        </w:tc>
        <w:tc>
          <w:tcPr>
            <w:tcW w:type="dxa" w:w="1234"/>
          </w:tcPr>
          <w:p>
            <w:r>
              <w:rPr>
                <w:rFonts w:ascii="Calibri" w:hAnsi="Calibri"/>
                <w:sz w:val="22"/>
              </w:rPr>
              <w:t>18.5%</w:t>
            </w:r>
          </w:p>
        </w:tc>
        <w:tc>
          <w:tcPr>
            <w:tcW w:type="dxa" w:w="1234"/>
          </w:tcPr>
          <w:p>
            <w:r>
              <w:rPr>
                <w:rFonts w:ascii="Calibri" w:hAnsi="Calibri"/>
                <w:sz w:val="22"/>
              </w:rPr>
              <w:t>17.6%</w:t>
            </w:r>
          </w:p>
        </w:tc>
        <w:tc>
          <w:tcPr>
            <w:tcW w:type="dxa" w:w="1234"/>
          </w:tcPr>
          <w:p>
            <w:r>
              <w:rPr>
                <w:rFonts w:ascii="Calibri" w:hAnsi="Calibri"/>
                <w:sz w:val="22"/>
              </w:rPr>
              <w:t>18.8%</w:t>
            </w:r>
          </w:p>
        </w:tc>
        <w:tc>
          <w:tcPr>
            <w:tcW w:type="dxa" w:w="1234"/>
          </w:tcPr>
          <w:p>
            <w:r>
              <w:rPr>
                <w:rFonts w:ascii="Calibri" w:hAnsi="Calibri"/>
                <w:sz w:val="22"/>
              </w:rPr>
              <w:t>+120 bps</w:t>
            </w:r>
          </w:p>
        </w:tc>
        <w:tc>
          <w:tcPr>
            <w:tcW w:type="dxa" w:w="1234"/>
          </w:tcPr>
          <w:p>
            <w:r>
              <w:rPr>
                <w:rFonts w:ascii="Calibri" w:hAnsi="Calibri"/>
                <w:sz w:val="22"/>
              </w:rPr>
              <w:t>~45% operating leverage</w:t>
            </w:r>
          </w:p>
        </w:tc>
        <w:tc>
          <w:tcPr>
            <w:tcW w:type="dxa" w:w="1234"/>
          </w:tcPr>
          <w:p>
            <w:r>
              <w:rPr>
                <w:rFonts w:ascii="Calibri" w:hAnsi="Calibri"/>
                <w:sz w:val="22"/>
              </w:rPr>
              <w:t>Consistent with guide</w:t>
            </w:r>
          </w:p>
        </w:tc>
      </w:tr>
      <w:tr>
        <w:tc>
          <w:tcPr>
            <w:tcW w:type="dxa" w:w="1234"/>
          </w:tcPr>
          <w:p>
            <w:r>
              <w:rPr>
                <w:rFonts w:ascii="Calibri" w:hAnsi="Calibri"/>
                <w:sz w:val="22"/>
              </w:rPr>
              <w:t>Orders Growth (Organic, Building Solutions)</w:t>
            </w:r>
          </w:p>
        </w:tc>
        <w:tc>
          <w:tcPr>
            <w:tcW w:type="dxa" w:w="1234"/>
          </w:tcPr>
          <w:p>
            <w:r>
              <w:rPr>
                <w:rFonts w:ascii="Calibri" w:hAnsi="Calibri"/>
                <w:sz w:val="22"/>
              </w:rPr>
              <w:t>+30% organic</w:t>
            </w:r>
          </w:p>
        </w:tc>
        <w:tc>
          <w:tcPr>
            <w:tcW w:type="dxa" w:w="1234"/>
          </w:tcPr>
          <w:p>
            <w:r>
              <w:rPr>
                <w:rFonts w:ascii="Calibri" w:hAnsi="Calibri"/>
                <w:sz w:val="22"/>
              </w:rPr>
              <w:t>+2% organic</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No formal guide</w:t>
            </w:r>
          </w:p>
        </w:tc>
        <w:tc>
          <w:tcPr>
            <w:tcW w:type="dxa" w:w="1234"/>
          </w:tcPr>
          <w:p>
            <w:r>
              <w:rPr>
                <w:rFonts w:ascii="Calibri" w:hAnsi="Calibri"/>
                <w:sz w:val="22"/>
              </w:rPr>
              <w:t>N/A</w:t>
            </w:r>
          </w:p>
        </w:tc>
      </w:tr>
      <w:tr>
        <w:tc>
          <w:tcPr>
            <w:tcW w:type="dxa" w:w="1234"/>
          </w:tcPr>
          <w:p>
            <w:r>
              <w:rPr>
                <w:rFonts w:ascii="Calibri" w:hAnsi="Calibri"/>
                <w:sz w:val="22"/>
              </w:rPr>
              <w:t>Backlog (Building Solutions)</w:t>
            </w:r>
          </w:p>
        </w:tc>
        <w:tc>
          <w:tcPr>
            <w:tcW w:type="dxa" w:w="1234"/>
          </w:tcPr>
          <w:p>
            <w:r>
              <w:rPr>
                <w:rFonts w:ascii="Calibri" w:hAnsi="Calibri"/>
                <w:sz w:val="22"/>
              </w:rPr>
              <w:t>$20.0B (record)</w:t>
            </w:r>
          </w:p>
        </w:tc>
        <w:tc>
          <w:tcPr>
            <w:tcW w:type="dxa" w:w="1234"/>
          </w:tcPr>
          <w:p>
            <w:r>
              <w:rPr>
                <w:rFonts w:ascii="Calibri" w:hAnsi="Calibri"/>
                <w:sz w:val="22"/>
              </w:rPr>
              <w:t>$16.2B</w:t>
            </w:r>
          </w:p>
        </w:tc>
        <w:tc>
          <w:tcPr>
            <w:tcW w:type="dxa" w:w="1234"/>
          </w:tcPr>
          <w:p>
            <w:r>
              <w:rPr>
                <w:rFonts w:ascii="Calibri" w:hAnsi="Calibri"/>
                <w:sz w:val="22"/>
              </w:rPr>
              <w:t>N/A — not in VA consensus</w:t>
            </w:r>
          </w:p>
        </w:tc>
        <w:tc>
          <w:tcPr>
            <w:tcW w:type="dxa" w:w="1234"/>
          </w:tcPr>
          <w:p>
            <w:r>
              <w:rPr>
                <w:rFonts w:ascii="Calibri" w:hAnsi="Calibri"/>
                <w:sz w:val="22"/>
              </w:rPr>
              <w:t>+23% YoY</w:t>
            </w:r>
          </w:p>
        </w:tc>
        <w:tc>
          <w:tcPr>
            <w:tcW w:type="dxa" w:w="1234"/>
          </w:tcPr>
          <w:p>
            <w:r>
              <w:rPr>
                <w:rFonts w:ascii="Calibri" w:hAnsi="Calibri"/>
                <w:sz w:val="22"/>
              </w:rPr>
              <w:t>No formal guide</w:t>
            </w:r>
          </w:p>
        </w:tc>
        <w:tc>
          <w:tcPr>
            <w:tcW w:type="dxa" w:w="1234"/>
          </w:tcPr>
          <w:p>
            <w:r>
              <w:rPr>
                <w:rFonts w:ascii="Calibri" w:hAnsi="Calibri"/>
                <w:sz w:val="22"/>
              </w:rPr>
              <w:t>N/A</w:t>
            </w:r>
          </w:p>
        </w:tc>
      </w:tr>
    </w:tbl>
    <w:p>
      <w:r>
        <w:rPr>
          <w:rFonts w:ascii="Calibri" w:hAnsi="Calibri"/>
          <w:color w:val="525866"/>
          <w:sz w:val="22"/>
        </w:rPr>
        <w:t>Sources: Visible Alpha consensus and actuals data for EPS and Revenue (Net sales - operating; EPS - Diluted - Operating). Orders and Backlog actuals from JCI Q2 FY2026 earnings call transcript (May 6, 2026). Management guidance from Q2 FY2026 earnings call. Consensus vs. guidance delta calculated by Implied.</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Revenue Reported</w:t>
            </w:r>
          </w:p>
        </w:tc>
        <w:tc>
          <w:tcPr>
            <w:tcW w:type="dxa" w:w="960"/>
            <w:shd w:val="clear" w:color="auto" w:fill="3B4259"/>
          </w:tcPr>
          <w:p>
            <w:r>
              <w:rPr>
                <w:rFonts w:ascii="Calibri" w:hAnsi="Calibri"/>
                <w:b/>
                <w:color w:val="FFFFFF"/>
                <w:sz w:val="22"/>
              </w:rPr>
              <w:t>Revenue Consensus</w:t>
            </w:r>
          </w:p>
        </w:tc>
        <w:tc>
          <w:tcPr>
            <w:tcW w:type="dxa" w:w="960"/>
            <w:shd w:val="clear" w:color="auto" w:fill="3B4259"/>
          </w:tcPr>
          <w:p>
            <w:r>
              <w:rPr>
                <w:rFonts w:ascii="Calibri" w:hAnsi="Calibri"/>
                <w:b/>
                <w:color w:val="FFFFFF"/>
                <w:sz w:val="22"/>
              </w:rPr>
              <w:t>Rev. Surprise %</w:t>
            </w:r>
          </w:p>
        </w:tc>
        <w:tc>
          <w:tcPr>
            <w:tcW w:type="dxa" w:w="960"/>
            <w:shd w:val="clear" w:color="auto" w:fill="3B4259"/>
          </w:tcPr>
          <w:p>
            <w:r>
              <w:rPr>
                <w:rFonts w:ascii="Calibri" w:hAnsi="Calibri"/>
                <w:b/>
                <w:color w:val="FFFFFF"/>
                <w:sz w:val="22"/>
              </w:rPr>
              <w:t>Rev. Result</w:t>
            </w:r>
          </w:p>
        </w:tc>
      </w:tr>
      <w:tr>
        <w:tc>
          <w:tcPr>
            <w:tcW w:type="dxa" w:w="960"/>
          </w:tcPr>
          <w:p>
            <w:r>
              <w:rPr>
                <w:rFonts w:ascii="Calibri" w:hAnsi="Calibri"/>
                <w:sz w:val="22"/>
              </w:rPr>
              <w:t>2Q FY2026</w:t>
            </w:r>
          </w:p>
        </w:tc>
        <w:tc>
          <w:tcPr>
            <w:tcW w:type="dxa" w:w="960"/>
          </w:tcPr>
          <w:p>
            <w:r>
              <w:rPr>
                <w:rFonts w:ascii="Calibri" w:hAnsi="Calibri"/>
                <w:sz w:val="22"/>
              </w:rPr>
              <w:t>$1.19</w:t>
            </w:r>
          </w:p>
        </w:tc>
        <w:tc>
          <w:tcPr>
            <w:tcW w:type="dxa" w:w="960"/>
          </w:tcPr>
          <w:p>
            <w:r>
              <w:rPr>
                <w:rFonts w:ascii="Calibri" w:hAnsi="Calibri"/>
                <w:sz w:val="22"/>
              </w:rPr>
              <w:t>$1.11</w:t>
            </w:r>
          </w:p>
        </w:tc>
        <w:tc>
          <w:tcPr>
            <w:tcW w:type="dxa" w:w="960"/>
          </w:tcPr>
          <w:p>
            <w:r>
              <w:rPr>
                <w:rFonts w:ascii="Calibri" w:hAnsi="Calibri"/>
                <w:b/>
                <w:color w:val="30A46C"/>
                <w:sz w:val="22"/>
              </w:rPr>
              <w:t>+7.2%</w:t>
            </w:r>
          </w:p>
        </w:tc>
        <w:tc>
          <w:tcPr>
            <w:tcW w:type="dxa" w:w="960"/>
          </w:tcPr>
          <w:p>
            <w:r>
              <w:rPr>
                <w:rFonts w:ascii="Calibri" w:hAnsi="Calibri"/>
                <w:b/>
                <w:color w:val="30A46C"/>
                <w:sz w:val="22"/>
              </w:rPr>
              <w:t>Beat</w:t>
            </w:r>
          </w:p>
        </w:tc>
        <w:tc>
          <w:tcPr>
            <w:tcW w:type="dxa" w:w="960"/>
          </w:tcPr>
          <w:p>
            <w:r>
              <w:rPr>
                <w:rFonts w:ascii="Calibri" w:hAnsi="Calibri"/>
                <w:sz w:val="22"/>
              </w:rPr>
              <w:t>$6.14B</w:t>
            </w:r>
          </w:p>
        </w:tc>
        <w:tc>
          <w:tcPr>
            <w:tcW w:type="dxa" w:w="960"/>
          </w:tcPr>
          <w:p>
            <w:r>
              <w:rPr>
                <w:rFonts w:ascii="Calibri" w:hAnsi="Calibri"/>
                <w:sz w:val="22"/>
              </w:rPr>
              <w:t>$6.06B</w:t>
            </w:r>
          </w:p>
        </w:tc>
        <w:tc>
          <w:tcPr>
            <w:tcW w:type="dxa" w:w="960"/>
          </w:tcPr>
          <w:p>
            <w:r>
              <w:rPr>
                <w:rFonts w:ascii="Calibri" w:hAnsi="Calibri"/>
                <w:b/>
                <w:color w:val="30A46C"/>
                <w:sz w:val="22"/>
              </w:rPr>
              <w:t>+1.3%</w:t>
            </w:r>
          </w:p>
        </w:tc>
        <w:tc>
          <w:tcPr>
            <w:tcW w:type="dxa" w:w="960"/>
          </w:tcPr>
          <w:p>
            <w:r>
              <w:rPr>
                <w:rFonts w:ascii="Calibri" w:hAnsi="Calibri"/>
                <w:b/>
                <w:color w:val="30A46C"/>
                <w:sz w:val="22"/>
              </w:rPr>
              <w:t>Beat</w:t>
            </w:r>
          </w:p>
        </w:tc>
      </w:tr>
      <w:tr>
        <w:tc>
          <w:tcPr>
            <w:tcW w:type="dxa" w:w="960"/>
          </w:tcPr>
          <w:p>
            <w:r>
              <w:rPr>
                <w:rFonts w:ascii="Calibri" w:hAnsi="Calibri"/>
                <w:sz w:val="22"/>
              </w:rPr>
              <w:t>1Q FY2026</w:t>
            </w:r>
          </w:p>
        </w:tc>
        <w:tc>
          <w:tcPr>
            <w:tcW w:type="dxa" w:w="960"/>
          </w:tcPr>
          <w:p>
            <w:r>
              <w:rPr>
                <w:rFonts w:ascii="Calibri" w:hAnsi="Calibri"/>
                <w:sz w:val="22"/>
              </w:rPr>
              <w:t>$0.89</w:t>
            </w:r>
          </w:p>
        </w:tc>
        <w:tc>
          <w:tcPr>
            <w:tcW w:type="dxa" w:w="960"/>
          </w:tcPr>
          <w:p>
            <w:r>
              <w:rPr>
                <w:rFonts w:ascii="Calibri" w:hAnsi="Calibri"/>
                <w:sz w:val="22"/>
              </w:rPr>
              <w:t>$0.84</w:t>
            </w:r>
          </w:p>
        </w:tc>
        <w:tc>
          <w:tcPr>
            <w:tcW w:type="dxa" w:w="960"/>
          </w:tcPr>
          <w:p>
            <w:r>
              <w:rPr>
                <w:rFonts w:ascii="Calibri" w:hAnsi="Calibri"/>
                <w:b/>
                <w:color w:val="30A46C"/>
                <w:sz w:val="22"/>
              </w:rPr>
              <w:t>+6.0%</w:t>
            </w:r>
          </w:p>
        </w:tc>
        <w:tc>
          <w:tcPr>
            <w:tcW w:type="dxa" w:w="960"/>
          </w:tcPr>
          <w:p>
            <w:r>
              <w:rPr>
                <w:rFonts w:ascii="Calibri" w:hAnsi="Calibri"/>
                <w:b/>
                <w:color w:val="30A46C"/>
                <w:sz w:val="22"/>
              </w:rPr>
              <w:t>Beat</w:t>
            </w:r>
          </w:p>
        </w:tc>
        <w:tc>
          <w:tcPr>
            <w:tcW w:type="dxa" w:w="960"/>
          </w:tcPr>
          <w:p>
            <w:r>
              <w:rPr>
                <w:rFonts w:ascii="Calibri" w:hAnsi="Calibri"/>
                <w:sz w:val="22"/>
              </w:rPr>
              <w:t>$5.80B</w:t>
            </w:r>
          </w:p>
        </w:tc>
        <w:tc>
          <w:tcPr>
            <w:tcW w:type="dxa" w:w="960"/>
          </w:tcPr>
          <w:p>
            <w:r>
              <w:rPr>
                <w:rFonts w:ascii="Calibri" w:hAnsi="Calibri"/>
                <w:sz w:val="22"/>
              </w:rPr>
              <w:t>$5.64B</w:t>
            </w:r>
          </w:p>
        </w:tc>
        <w:tc>
          <w:tcPr>
            <w:tcW w:type="dxa" w:w="960"/>
          </w:tcPr>
          <w:p>
            <w:r>
              <w:rPr>
                <w:rFonts w:ascii="Calibri" w:hAnsi="Calibri"/>
                <w:b/>
                <w:color w:val="30A46C"/>
                <w:sz w:val="22"/>
              </w:rPr>
              <w:t>+2.8%</w:t>
            </w:r>
          </w:p>
        </w:tc>
        <w:tc>
          <w:tcPr>
            <w:tcW w:type="dxa" w:w="960"/>
          </w:tcPr>
          <w:p>
            <w:r>
              <w:rPr>
                <w:rFonts w:ascii="Calibri" w:hAnsi="Calibri"/>
                <w:b/>
                <w:color w:val="30A46C"/>
                <w:sz w:val="22"/>
              </w:rPr>
              <w:t>Beat</w:t>
            </w:r>
          </w:p>
        </w:tc>
      </w:tr>
      <w:tr>
        <w:tc>
          <w:tcPr>
            <w:tcW w:type="dxa" w:w="960"/>
          </w:tcPr>
          <w:p>
            <w:r>
              <w:rPr>
                <w:rFonts w:ascii="Calibri" w:hAnsi="Calibri"/>
                <w:sz w:val="22"/>
              </w:rPr>
              <w:t>4Q FY2025</w:t>
            </w:r>
          </w:p>
        </w:tc>
        <w:tc>
          <w:tcPr>
            <w:tcW w:type="dxa" w:w="960"/>
          </w:tcPr>
          <w:p>
            <w:r>
              <w:rPr>
                <w:rFonts w:ascii="Calibri" w:hAnsi="Calibri"/>
                <w:sz w:val="22"/>
              </w:rPr>
              <w:t>$1.26</w:t>
            </w:r>
          </w:p>
        </w:tc>
        <w:tc>
          <w:tcPr>
            <w:tcW w:type="dxa" w:w="960"/>
          </w:tcPr>
          <w:p>
            <w:r>
              <w:rPr>
                <w:rFonts w:ascii="Calibri" w:hAnsi="Calibri"/>
                <w:sz w:val="22"/>
              </w:rPr>
              <w:t>$1.20</w:t>
            </w:r>
          </w:p>
        </w:tc>
        <w:tc>
          <w:tcPr>
            <w:tcW w:type="dxa" w:w="960"/>
          </w:tcPr>
          <w:p>
            <w:r>
              <w:rPr>
                <w:rFonts w:ascii="Calibri" w:hAnsi="Calibri"/>
                <w:b/>
                <w:color w:val="30A46C"/>
                <w:sz w:val="22"/>
              </w:rPr>
              <w:t>+5.0%</w:t>
            </w:r>
          </w:p>
        </w:tc>
        <w:tc>
          <w:tcPr>
            <w:tcW w:type="dxa" w:w="960"/>
          </w:tcPr>
          <w:p>
            <w:r>
              <w:rPr>
                <w:rFonts w:ascii="Calibri" w:hAnsi="Calibri"/>
                <w:b/>
                <w:color w:val="30A46C"/>
                <w:sz w:val="22"/>
              </w:rPr>
              <w:t>Beat</w:t>
            </w:r>
          </w:p>
        </w:tc>
        <w:tc>
          <w:tcPr>
            <w:tcW w:type="dxa" w:w="960"/>
          </w:tcPr>
          <w:p>
            <w:r>
              <w:rPr>
                <w:rFonts w:ascii="Calibri" w:hAnsi="Calibri"/>
                <w:sz w:val="22"/>
              </w:rPr>
              <w:t>$6.44B</w:t>
            </w:r>
          </w:p>
        </w:tc>
        <w:tc>
          <w:tcPr>
            <w:tcW w:type="dxa" w:w="960"/>
          </w:tcPr>
          <w:p>
            <w:r>
              <w:rPr>
                <w:rFonts w:ascii="Calibri" w:hAnsi="Calibri"/>
                <w:sz w:val="22"/>
              </w:rPr>
              <w:t>$6.34B</w:t>
            </w:r>
          </w:p>
        </w:tc>
        <w:tc>
          <w:tcPr>
            <w:tcW w:type="dxa" w:w="960"/>
          </w:tcPr>
          <w:p>
            <w:r>
              <w:rPr>
                <w:rFonts w:ascii="Calibri" w:hAnsi="Calibri"/>
                <w:b/>
                <w:color w:val="30A46C"/>
                <w:sz w:val="22"/>
              </w:rPr>
              <w:t>+1.6%</w:t>
            </w:r>
          </w:p>
        </w:tc>
        <w:tc>
          <w:tcPr>
            <w:tcW w:type="dxa" w:w="960"/>
          </w:tcPr>
          <w:p>
            <w:r>
              <w:rPr>
                <w:rFonts w:ascii="Calibri" w:hAnsi="Calibri"/>
                <w:b/>
                <w:color w:val="30A46C"/>
                <w:sz w:val="22"/>
              </w:rPr>
              <w:t>Beat</w:t>
            </w:r>
          </w:p>
        </w:tc>
      </w:tr>
      <w:tr>
        <w:tc>
          <w:tcPr>
            <w:tcW w:type="dxa" w:w="960"/>
          </w:tcPr>
          <w:p>
            <w:r>
              <w:rPr>
                <w:rFonts w:ascii="Calibri" w:hAnsi="Calibri"/>
                <w:sz w:val="22"/>
              </w:rPr>
              <w:t>3Q FY2025</w:t>
            </w:r>
          </w:p>
        </w:tc>
        <w:tc>
          <w:tcPr>
            <w:tcW w:type="dxa" w:w="960"/>
          </w:tcPr>
          <w:p>
            <w:r>
              <w:rPr>
                <w:rFonts w:ascii="Calibri" w:hAnsi="Calibri"/>
                <w:sz w:val="22"/>
              </w:rPr>
              <w:t>$1.05</w:t>
            </w:r>
          </w:p>
        </w:tc>
        <w:tc>
          <w:tcPr>
            <w:tcW w:type="dxa" w:w="960"/>
          </w:tcPr>
          <w:p>
            <w:r>
              <w:rPr>
                <w:rFonts w:ascii="Calibri" w:hAnsi="Calibri"/>
                <w:sz w:val="22"/>
              </w:rPr>
              <w:t>$1.02</w:t>
            </w:r>
          </w:p>
        </w:tc>
        <w:tc>
          <w:tcPr>
            <w:tcW w:type="dxa" w:w="960"/>
          </w:tcPr>
          <w:p>
            <w:r>
              <w:rPr>
                <w:rFonts w:ascii="Calibri" w:hAnsi="Calibri"/>
                <w:b/>
                <w:color w:val="30A46C"/>
                <w:sz w:val="22"/>
              </w:rPr>
              <w:t>+3.2%</w:t>
            </w:r>
          </w:p>
        </w:tc>
        <w:tc>
          <w:tcPr>
            <w:tcW w:type="dxa" w:w="960"/>
          </w:tcPr>
          <w:p>
            <w:r>
              <w:rPr>
                <w:rFonts w:ascii="Calibri" w:hAnsi="Calibri"/>
                <w:b/>
                <w:color w:val="30A46C"/>
                <w:sz w:val="22"/>
              </w:rPr>
              <w:t>Beat</w:t>
            </w:r>
          </w:p>
        </w:tc>
        <w:tc>
          <w:tcPr>
            <w:tcW w:type="dxa" w:w="960"/>
          </w:tcPr>
          <w:p>
            <w:r>
              <w:rPr>
                <w:rFonts w:ascii="Calibri" w:hAnsi="Calibri"/>
                <w:sz w:val="22"/>
              </w:rPr>
              <w:t>$6.05B</w:t>
            </w:r>
          </w:p>
        </w:tc>
        <w:tc>
          <w:tcPr>
            <w:tcW w:type="dxa" w:w="960"/>
          </w:tcPr>
          <w:p>
            <w:r>
              <w:rPr>
                <w:rFonts w:ascii="Calibri" w:hAnsi="Calibri"/>
                <w:sz w:val="22"/>
              </w:rPr>
              <w:t>$6.01B</w:t>
            </w:r>
          </w:p>
        </w:tc>
        <w:tc>
          <w:tcPr>
            <w:tcW w:type="dxa" w:w="960"/>
          </w:tcPr>
          <w:p>
            <w:r>
              <w:rPr>
                <w:rFonts w:ascii="Calibri" w:hAnsi="Calibri"/>
                <w:b/>
                <w:color w:val="30A46C"/>
                <w:sz w:val="22"/>
              </w:rPr>
              <w:t>+0.7%</w:t>
            </w:r>
          </w:p>
        </w:tc>
        <w:tc>
          <w:tcPr>
            <w:tcW w:type="dxa" w:w="960"/>
          </w:tcPr>
          <w:p>
            <w:r>
              <w:rPr>
                <w:rFonts w:ascii="Calibri" w:hAnsi="Calibri"/>
                <w:b/>
                <w:color w:val="30A46C"/>
                <w:sz w:val="22"/>
              </w:rPr>
              <w:t>Beat</w:t>
            </w:r>
          </w:p>
        </w:tc>
      </w:tr>
      <w:tr>
        <w:tc>
          <w:tcPr>
            <w:tcW w:type="dxa" w:w="960"/>
          </w:tcPr>
          <w:p>
            <w:r>
              <w:rPr>
                <w:rFonts w:ascii="Calibri" w:hAnsi="Calibri"/>
                <w:sz w:val="22"/>
              </w:rPr>
              <w:t>2Q FY2025</w:t>
            </w:r>
          </w:p>
        </w:tc>
        <w:tc>
          <w:tcPr>
            <w:tcW w:type="dxa" w:w="960"/>
          </w:tcPr>
          <w:p>
            <w:r>
              <w:rPr>
                <w:rFonts w:ascii="Calibri" w:hAnsi="Calibri"/>
                <w:sz w:val="22"/>
              </w:rPr>
              <w:t>$0.82</w:t>
            </w:r>
          </w:p>
        </w:tc>
        <w:tc>
          <w:tcPr>
            <w:tcW w:type="dxa" w:w="960"/>
          </w:tcPr>
          <w:p>
            <w:r>
              <w:rPr>
                <w:rFonts w:ascii="Calibri" w:hAnsi="Calibri"/>
                <w:sz w:val="22"/>
              </w:rPr>
              <w:t>$0.78</w:t>
            </w:r>
          </w:p>
        </w:tc>
        <w:tc>
          <w:tcPr>
            <w:tcW w:type="dxa" w:w="960"/>
          </w:tcPr>
          <w:p>
            <w:r>
              <w:rPr>
                <w:rFonts w:ascii="Calibri" w:hAnsi="Calibri"/>
                <w:b/>
                <w:color w:val="30A46C"/>
                <w:sz w:val="22"/>
              </w:rPr>
              <w:t>+5.1%</w:t>
            </w:r>
          </w:p>
        </w:tc>
        <w:tc>
          <w:tcPr>
            <w:tcW w:type="dxa" w:w="960"/>
          </w:tcPr>
          <w:p>
            <w:r>
              <w:rPr>
                <w:rFonts w:ascii="Calibri" w:hAnsi="Calibri"/>
                <w:b/>
                <w:color w:val="30A46C"/>
                <w:sz w:val="22"/>
              </w:rPr>
              <w:t>Beat</w:t>
            </w:r>
          </w:p>
        </w:tc>
        <w:tc>
          <w:tcPr>
            <w:tcW w:type="dxa" w:w="960"/>
          </w:tcPr>
          <w:p>
            <w:r>
              <w:rPr>
                <w:rFonts w:ascii="Calibri" w:hAnsi="Calibri"/>
                <w:sz w:val="22"/>
              </w:rPr>
              <w:t>$5.68B</w:t>
            </w:r>
          </w:p>
        </w:tc>
        <w:tc>
          <w:tcPr>
            <w:tcW w:type="dxa" w:w="960"/>
          </w:tcPr>
          <w:p>
            <w:r>
              <w:rPr>
                <w:rFonts w:ascii="Calibri" w:hAnsi="Calibri"/>
                <w:sz w:val="22"/>
              </w:rPr>
              <w:t>$5.64B</w:t>
            </w:r>
          </w:p>
        </w:tc>
        <w:tc>
          <w:tcPr>
            <w:tcW w:type="dxa" w:w="960"/>
          </w:tcPr>
          <w:p>
            <w:r>
              <w:rPr>
                <w:rFonts w:ascii="Calibri" w:hAnsi="Calibri"/>
                <w:b/>
                <w:color w:val="30A46C"/>
                <w:sz w:val="22"/>
              </w:rPr>
              <w:t>+0.7%</w:t>
            </w:r>
          </w:p>
        </w:tc>
        <w:tc>
          <w:tcPr>
            <w:tcW w:type="dxa" w:w="960"/>
          </w:tcPr>
          <w:p>
            <w:r>
              <w:rPr>
                <w:rFonts w:ascii="Calibri" w:hAnsi="Calibri"/>
                <w:b/>
                <w:color w:val="30A46C"/>
                <w:sz w:val="22"/>
              </w:rPr>
              <w:t>Beat</w:t>
            </w:r>
          </w:p>
        </w:tc>
      </w:tr>
      <w:tr>
        <w:tc>
          <w:tcPr>
            <w:tcW w:type="dxa" w:w="960"/>
          </w:tcPr>
          <w:p>
            <w:r>
              <w:rPr>
                <w:rFonts w:ascii="Calibri" w:hAnsi="Calibri"/>
                <w:sz w:val="22"/>
              </w:rPr>
              <w:t>1Q FY2025</w:t>
            </w:r>
          </w:p>
        </w:tc>
        <w:tc>
          <w:tcPr>
            <w:tcW w:type="dxa" w:w="960"/>
          </w:tcPr>
          <w:p>
            <w:r>
              <w:rPr>
                <w:rFonts w:ascii="Calibri" w:hAnsi="Calibri"/>
                <w:sz w:val="22"/>
              </w:rPr>
              <w:t>$0.64</w:t>
            </w:r>
          </w:p>
        </w:tc>
        <w:tc>
          <w:tcPr>
            <w:tcW w:type="dxa" w:w="960"/>
          </w:tcPr>
          <w:p>
            <w:r>
              <w:rPr>
                <w:rFonts w:ascii="Calibri" w:hAnsi="Calibri"/>
                <w:sz w:val="22"/>
              </w:rPr>
              <w:t>$0.59</w:t>
            </w:r>
          </w:p>
        </w:tc>
        <w:tc>
          <w:tcPr>
            <w:tcW w:type="dxa" w:w="960"/>
          </w:tcPr>
          <w:p>
            <w:r>
              <w:rPr>
                <w:rFonts w:ascii="Calibri" w:hAnsi="Calibri"/>
                <w:b/>
                <w:color w:val="30A46C"/>
                <w:sz w:val="22"/>
              </w:rPr>
              <w:t>+8.5%</w:t>
            </w:r>
          </w:p>
        </w:tc>
        <w:tc>
          <w:tcPr>
            <w:tcW w:type="dxa" w:w="960"/>
          </w:tcPr>
          <w:p>
            <w:r>
              <w:rPr>
                <w:rFonts w:ascii="Calibri" w:hAnsi="Calibri"/>
                <w:b/>
                <w:color w:val="30A46C"/>
                <w:sz w:val="22"/>
              </w:rPr>
              <w:t>Beat</w:t>
            </w:r>
          </w:p>
        </w:tc>
        <w:tc>
          <w:tcPr>
            <w:tcW w:type="dxa" w:w="960"/>
          </w:tcPr>
          <w:p>
            <w:r>
              <w:rPr>
                <w:rFonts w:ascii="Calibri" w:hAnsi="Calibri"/>
                <w:sz w:val="22"/>
              </w:rPr>
              <w:t>$5.43B</w:t>
            </w:r>
          </w:p>
        </w:tc>
        <w:tc>
          <w:tcPr>
            <w:tcW w:type="dxa" w:w="960"/>
          </w:tcPr>
          <w:p>
            <w:r>
              <w:rPr>
                <w:rFonts w:ascii="Calibri" w:hAnsi="Calibri"/>
                <w:sz w:val="22"/>
              </w:rPr>
              <w:t>$5.26B</w:t>
            </w:r>
          </w:p>
        </w:tc>
        <w:tc>
          <w:tcPr>
            <w:tcW w:type="dxa" w:w="960"/>
          </w:tcPr>
          <w:p>
            <w:r>
              <w:rPr>
                <w:rFonts w:ascii="Calibri" w:hAnsi="Calibri"/>
                <w:b/>
                <w:color w:val="30A46C"/>
                <w:sz w:val="22"/>
              </w:rPr>
              <w:t>+3.2%</w:t>
            </w:r>
          </w:p>
        </w:tc>
        <w:tc>
          <w:tcPr>
            <w:tcW w:type="dxa" w:w="960"/>
          </w:tcPr>
          <w:p>
            <w:r>
              <w:rPr>
                <w:rFonts w:ascii="Calibri" w:hAnsi="Calibri"/>
                <w:b/>
                <w:color w:val="30A46C"/>
                <w:sz w:val="22"/>
              </w:rPr>
              <w:t>Beat</w:t>
            </w:r>
          </w:p>
        </w:tc>
      </w:tr>
      <w:tr>
        <w:tc>
          <w:tcPr>
            <w:tcW w:type="dxa" w:w="960"/>
          </w:tcPr>
          <w:p>
            <w:r>
              <w:rPr>
                <w:rFonts w:ascii="Calibri" w:hAnsi="Calibri"/>
                <w:sz w:val="22"/>
              </w:rPr>
              <w:t>4Q FY2024</w:t>
            </w:r>
          </w:p>
        </w:tc>
        <w:tc>
          <w:tcPr>
            <w:tcW w:type="dxa" w:w="960"/>
          </w:tcPr>
          <w:p>
            <w:r>
              <w:rPr>
                <w:rFonts w:ascii="Calibri" w:hAnsi="Calibri"/>
                <w:sz w:val="22"/>
              </w:rPr>
              <w:t>$1.11</w:t>
            </w:r>
          </w:p>
        </w:tc>
        <w:tc>
          <w:tcPr>
            <w:tcW w:type="dxa" w:w="960"/>
          </w:tcPr>
          <w:p>
            <w:r>
              <w:rPr>
                <w:rFonts w:ascii="Calibri" w:hAnsi="Calibri"/>
                <w:sz w:val="22"/>
              </w:rPr>
              <w:t>$1.24</w:t>
            </w:r>
          </w:p>
        </w:tc>
        <w:tc>
          <w:tcPr>
            <w:tcW w:type="dxa" w:w="960"/>
          </w:tcPr>
          <w:p>
            <w:r>
              <w:rPr>
                <w:rFonts w:ascii="Calibri" w:hAnsi="Calibri"/>
                <w:b/>
                <w:color w:val="E5484D"/>
                <w:sz w:val="22"/>
              </w:rPr>
              <w:t>-10.5%</w:t>
            </w:r>
          </w:p>
        </w:tc>
        <w:tc>
          <w:tcPr>
            <w:tcW w:type="dxa" w:w="960"/>
          </w:tcPr>
          <w:p>
            <w:r>
              <w:rPr>
                <w:rFonts w:ascii="Calibri" w:hAnsi="Calibri"/>
                <w:b/>
                <w:color w:val="E5484D"/>
                <w:sz w:val="22"/>
              </w:rPr>
              <w:t>Miss</w:t>
            </w:r>
          </w:p>
        </w:tc>
        <w:tc>
          <w:tcPr>
            <w:tcW w:type="dxa" w:w="960"/>
          </w:tcPr>
          <w:p>
            <w:r>
              <w:rPr>
                <w:rFonts w:ascii="Calibri" w:hAnsi="Calibri"/>
                <w:sz w:val="22"/>
              </w:rPr>
              <w:t>$6.25B</w:t>
            </w:r>
          </w:p>
        </w:tc>
        <w:tc>
          <w:tcPr>
            <w:tcW w:type="dxa" w:w="960"/>
          </w:tcPr>
          <w:p>
            <w:r>
              <w:rPr>
                <w:rFonts w:ascii="Calibri" w:hAnsi="Calibri"/>
                <w:sz w:val="22"/>
              </w:rPr>
              <w:t>$7.22B</w:t>
            </w:r>
          </w:p>
        </w:tc>
        <w:tc>
          <w:tcPr>
            <w:tcW w:type="dxa" w:w="960"/>
          </w:tcPr>
          <w:p>
            <w:r>
              <w:rPr>
                <w:rFonts w:ascii="Calibri" w:hAnsi="Calibri"/>
                <w:b/>
                <w:color w:val="E5484D"/>
                <w:sz w:val="22"/>
              </w:rPr>
              <w:t>-13.4%</w:t>
            </w:r>
          </w:p>
        </w:tc>
        <w:tc>
          <w:tcPr>
            <w:tcW w:type="dxa" w:w="960"/>
          </w:tcPr>
          <w:p>
            <w:r>
              <w:rPr>
                <w:rFonts w:ascii="Calibri" w:hAnsi="Calibri"/>
                <w:b/>
                <w:color w:val="E5484D"/>
                <w:sz w:val="22"/>
              </w:rPr>
              <w:t>Miss</w:t>
            </w:r>
          </w:p>
        </w:tc>
      </w:tr>
      <w:tr>
        <w:tc>
          <w:tcPr>
            <w:tcW w:type="dxa" w:w="960"/>
          </w:tcPr>
          <w:p>
            <w:r>
              <w:rPr>
                <w:rFonts w:ascii="Calibri" w:hAnsi="Calibri"/>
                <w:sz w:val="22"/>
              </w:rPr>
              <w:t>3Q FY2024</w:t>
            </w:r>
          </w:p>
        </w:tc>
        <w:tc>
          <w:tcPr>
            <w:tcW w:type="dxa" w:w="960"/>
          </w:tcPr>
          <w:p>
            <w:r>
              <w:rPr>
                <w:rFonts w:ascii="Calibri" w:hAnsi="Calibri"/>
                <w:sz w:val="22"/>
              </w:rPr>
              <w:t>N/A — pre-divestiture</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 — pre-divestiture</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JCI has beaten EPS consensus in 6 of the last 7 comparable quarters (the 4Q FY2024 miss reflected the Residential &amp; Light Commercial divestiture distorting the comparable base), with an average EPS beat of ~+5–8% in the post-divestiture era — a consistent pattern that sets a meaningful but achievable bar for Q3 FY2026.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EPS guidance on the Q2 call (May 6) and reaffirmed the long-term algorithm at Gemba Day (June 1). </w:t>
      </w:r>
      <w:r>
        <w:rPr>
          <w:rFonts w:ascii="Calibri" w:hAnsi="Calibri"/>
          <w:b/>
          <w:color w:val="525866"/>
          <w:sz w:val="22"/>
        </w:rPr>
        <w:t>Tone has escalated from confident to aspirational</w:t>
      </w:r>
      <w:r>
        <w:rPr>
          <w:rFonts w:ascii="Calibri" w:hAnsi="Calibri"/>
          <w:color w:val="525866"/>
          <w:sz w:val="22"/>
        </w:rPr>
        <w:t xml:space="preserve"> — the CEO now explicitly targets peer-matching segment EBIT margins and upgraded the long-term organic growth algorithm to high-single-digit. No post-Gemba Day guidance revisions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3Q FY2026 Adj. EPS</w:t>
            </w:r>
          </w:p>
        </w:tc>
        <w:tc>
          <w:tcPr>
            <w:tcW w:type="dxa" w:w="1728"/>
          </w:tcPr>
          <w:p>
            <w:r>
              <w:rPr>
                <w:rFonts w:ascii="Calibri" w:hAnsi="Calibri"/>
                <w:sz w:val="22"/>
              </w:rPr>
              <w:t>~$1.28</w:t>
            </w:r>
          </w:p>
        </w:tc>
        <w:tc>
          <w:tcPr>
            <w:tcW w:type="dxa" w:w="1728"/>
          </w:tcPr>
          <w:p>
            <w:r>
              <w:rPr>
                <w:rFonts w:ascii="Calibri" w:hAnsi="Calibri"/>
                <w:sz w:val="22"/>
              </w:rPr>
              <w:t>—</w:t>
            </w:r>
          </w:p>
        </w:tc>
        <w:tc>
          <w:tcPr>
            <w:tcW w:type="dxa" w:w="1728"/>
          </w:tcPr>
          <w:p>
            <w:r>
              <w:rPr>
                <w:rFonts w:ascii="Calibri" w:hAnsi="Calibri"/>
                <w:sz w:val="22"/>
              </w:rPr>
              <w:t>$1.30</w:t>
            </w:r>
          </w:p>
        </w:tc>
        <w:tc>
          <w:tcPr>
            <w:tcW w:type="dxa" w:w="1728"/>
          </w:tcPr>
          <w:p>
            <w:r>
              <w:rPr>
                <w:rFonts w:ascii="Calibri" w:hAnsi="Calibri"/>
                <w:sz w:val="22"/>
              </w:rPr>
              <w:t>Consensus sits ~1.6% above guide midpoint; no post-earnings revision to Q3 guide</w:t>
            </w:r>
          </w:p>
        </w:tc>
      </w:tr>
      <w:tr>
        <w:tc>
          <w:tcPr>
            <w:tcW w:type="dxa" w:w="1728"/>
          </w:tcPr>
          <w:p>
            <w:r>
              <w:rPr>
                <w:rFonts w:ascii="Calibri" w:hAnsi="Calibri"/>
                <w:sz w:val="22"/>
              </w:rPr>
              <w:t>3Q FY2026 Organic Revenue Growth</w:t>
            </w:r>
          </w:p>
        </w:tc>
        <w:tc>
          <w:tcPr>
            <w:tcW w:type="dxa" w:w="1728"/>
          </w:tcPr>
          <w:p>
            <w:r>
              <w:rPr>
                <w:rFonts w:ascii="Calibri" w:hAnsi="Calibri"/>
                <w:sz w:val="22"/>
              </w:rPr>
              <w:t>~6%</w:t>
            </w:r>
          </w:p>
        </w:tc>
        <w:tc>
          <w:tcPr>
            <w:tcW w:type="dxa" w:w="1728"/>
          </w:tcPr>
          <w:p>
            <w:r>
              <w:rPr>
                <w:rFonts w:ascii="Calibri" w:hAnsi="Calibri"/>
                <w:sz w:val="22"/>
              </w:rPr>
              <w:t>—</w:t>
            </w:r>
          </w:p>
        </w:tc>
        <w:tc>
          <w:tcPr>
            <w:tcW w:type="dxa" w:w="1728"/>
          </w:tcPr>
          <w:p>
            <w:r>
              <w:rPr>
                <w:rFonts w:ascii="Calibri" w:hAnsi="Calibri"/>
                <w:sz w:val="22"/>
              </w:rPr>
              <w:t>~6.6% YoY implied</w:t>
            </w:r>
          </w:p>
        </w:tc>
        <w:tc>
          <w:tcPr>
            <w:tcW w:type="dxa" w:w="1728"/>
          </w:tcPr>
          <w:p>
            <w:r>
              <w:rPr>
                <w:rFonts w:ascii="Calibri" w:hAnsi="Calibri"/>
                <w:sz w:val="22"/>
              </w:rPr>
              <w:t>In line with guide; consensus slightly above on absolute revenue</w:t>
            </w:r>
          </w:p>
        </w:tc>
      </w:tr>
      <w:tr>
        <w:tc>
          <w:tcPr>
            <w:tcW w:type="dxa" w:w="1728"/>
          </w:tcPr>
          <w:p>
            <w:r>
              <w:rPr>
                <w:rFonts w:ascii="Calibri" w:hAnsi="Calibri"/>
                <w:sz w:val="22"/>
              </w:rPr>
              <w:t>3Q FY2026 Operating Leverage</w:t>
            </w:r>
          </w:p>
        </w:tc>
        <w:tc>
          <w:tcPr>
            <w:tcW w:type="dxa" w:w="1728"/>
          </w:tcPr>
          <w:p>
            <w:r>
              <w:rPr>
                <w:rFonts w:ascii="Calibri" w:hAnsi="Calibri"/>
                <w:sz w:val="22"/>
              </w:rPr>
              <w:t>~45%</w:t>
            </w:r>
          </w:p>
        </w:tc>
        <w:tc>
          <w:tcPr>
            <w:tcW w:type="dxa" w:w="1728"/>
          </w:tcPr>
          <w:p>
            <w:r>
              <w:rPr>
                <w:rFonts w:ascii="Calibri" w:hAnsi="Calibri"/>
                <w:sz w:val="22"/>
              </w:rPr>
              <w:t>—</w:t>
            </w:r>
          </w:p>
        </w:tc>
        <w:tc>
          <w:tcPr>
            <w:tcW w:type="dxa" w:w="1728"/>
          </w:tcPr>
          <w:p>
            <w:r>
              <w:rPr>
                <w:rFonts w:ascii="Calibri" w:hAnsi="Calibri"/>
                <w:sz w:val="22"/>
              </w:rPr>
              <w:t>~18.8% EBITA margin implied</w:t>
            </w:r>
          </w:p>
        </w:tc>
        <w:tc>
          <w:tcPr>
            <w:tcW w:type="dxa" w:w="1728"/>
          </w:tcPr>
          <w:p>
            <w:r>
              <w:rPr>
                <w:rFonts w:ascii="Calibri" w:hAnsi="Calibri"/>
                <w:sz w:val="22"/>
              </w:rPr>
              <w:t>Consistent with guide; margin expansion of ~120 bps YoY</w:t>
            </w:r>
          </w:p>
        </w:tc>
      </w:tr>
      <w:tr>
        <w:tc>
          <w:tcPr>
            <w:tcW w:type="dxa" w:w="1728"/>
          </w:tcPr>
          <w:p>
            <w:r>
              <w:rPr>
                <w:rFonts w:ascii="Calibri" w:hAnsi="Calibri"/>
                <w:sz w:val="22"/>
              </w:rPr>
              <w:t>FY2026 Adj. EPS</w:t>
            </w:r>
          </w:p>
        </w:tc>
        <w:tc>
          <w:tcPr>
            <w:tcW w:type="dxa" w:w="1728"/>
          </w:tcPr>
          <w:p>
            <w:r>
              <w:rPr>
                <w:rFonts w:ascii="Calibri" w:hAnsi="Calibri"/>
                <w:sz w:val="22"/>
              </w:rPr>
              <w:t>~$4.85 (raised from ~$4.55 original guide)</w:t>
            </w:r>
          </w:p>
        </w:tc>
        <w:tc>
          <w:tcPr>
            <w:tcW w:type="dxa" w:w="1728"/>
          </w:tcPr>
          <w:p>
            <w:r>
              <w:rPr>
                <w:rFonts w:ascii="Calibri" w:hAnsi="Calibri"/>
                <w:sz w:val="22"/>
              </w:rPr>
              <w:t>—</w:t>
            </w:r>
          </w:p>
        </w:tc>
        <w:tc>
          <w:tcPr>
            <w:tcW w:type="dxa" w:w="1728"/>
          </w:tcPr>
          <w:p>
            <w:r>
              <w:rPr>
                <w:rFonts w:ascii="Calibri" w:hAnsi="Calibri"/>
                <w:sz w:val="22"/>
              </w:rPr>
              <w:t>$4.90</w:t>
            </w:r>
          </w:p>
        </w:tc>
        <w:tc>
          <w:tcPr>
            <w:tcW w:type="dxa" w:w="1728"/>
          </w:tcPr>
          <w:p>
            <w:r>
              <w:rPr>
                <w:rFonts w:ascii="Calibri" w:hAnsi="Calibri"/>
                <w:sz w:val="22"/>
              </w:rPr>
              <w:t>Consensus ~1% above guide midpoint; no post-Gemba Day revision</w:t>
            </w:r>
          </w:p>
        </w:tc>
      </w:tr>
      <w:tr>
        <w:tc>
          <w:tcPr>
            <w:tcW w:type="dxa" w:w="1728"/>
          </w:tcPr>
          <w:p>
            <w:r>
              <w:rPr>
                <w:rFonts w:ascii="Calibri" w:hAnsi="Calibri"/>
                <w:sz w:val="22"/>
              </w:rPr>
              <w:t>FY2026 Organic Revenue Growth</w:t>
            </w:r>
          </w:p>
        </w:tc>
        <w:tc>
          <w:tcPr>
            <w:tcW w:type="dxa" w:w="1728"/>
          </w:tcPr>
          <w:p>
            <w:r>
              <w:rPr>
                <w:rFonts w:ascii="Calibri" w:hAnsi="Calibri"/>
                <w:sz w:val="22"/>
              </w:rPr>
              <w:t>~6%</w:t>
            </w:r>
          </w:p>
        </w:tc>
        <w:tc>
          <w:tcPr>
            <w:tcW w:type="dxa" w:w="1728"/>
          </w:tcPr>
          <w:p>
            <w:r>
              <w:rPr>
                <w:rFonts w:ascii="Calibri" w:hAnsi="Calibri"/>
                <w:sz w:val="22"/>
              </w:rPr>
              <w:t>—</w:t>
            </w:r>
          </w:p>
        </w:tc>
        <w:tc>
          <w:tcPr>
            <w:tcW w:type="dxa" w:w="1728"/>
          </w:tcPr>
          <w:p>
            <w:r>
              <w:rPr>
                <w:rFonts w:ascii="Calibri" w:hAnsi="Calibri"/>
                <w:sz w:val="22"/>
              </w:rPr>
              <w:t>~6% implied</w:t>
            </w:r>
          </w:p>
        </w:tc>
        <w:tc>
          <w:tcPr>
            <w:tcW w:type="dxa" w:w="1728"/>
          </w:tcPr>
          <w:p>
            <w:r>
              <w:rPr>
                <w:rFonts w:ascii="Calibri" w:hAnsi="Calibri"/>
                <w:sz w:val="22"/>
              </w:rPr>
              <w:t>In line with guide</w:t>
            </w:r>
          </w:p>
        </w:tc>
      </w:tr>
      <w:tr>
        <w:tc>
          <w:tcPr>
            <w:tcW w:type="dxa" w:w="1728"/>
          </w:tcPr>
          <w:p>
            <w:r>
              <w:rPr>
                <w:rFonts w:ascii="Calibri" w:hAnsi="Calibri"/>
                <w:sz w:val="22"/>
              </w:rPr>
              <w:t>FY2026 Operating Leverage</w:t>
            </w:r>
          </w:p>
        </w:tc>
        <w:tc>
          <w:tcPr>
            <w:tcW w:type="dxa" w:w="1728"/>
          </w:tcPr>
          <w:p>
            <w:r>
              <w:rPr>
                <w:rFonts w:ascii="Calibri" w:hAnsi="Calibri"/>
                <w:sz w:val="22"/>
              </w:rPr>
              <w:t>~50%</w:t>
            </w:r>
          </w:p>
        </w:tc>
        <w:tc>
          <w:tcPr>
            <w:tcW w:type="dxa" w:w="1728"/>
          </w:tcPr>
          <w:p>
            <w:r>
              <w:rPr>
                <w:rFonts w:ascii="Calibri" w:hAnsi="Calibri"/>
                <w:sz w:val="22"/>
              </w:rPr>
              <w:t>—</w:t>
            </w:r>
          </w:p>
        </w:tc>
        <w:tc>
          <w:tcPr>
            <w:tcW w:type="dxa" w:w="1728"/>
          </w:tcPr>
          <w:p>
            <w:r>
              <w:rPr>
                <w:rFonts w:ascii="Calibri" w:hAnsi="Calibri"/>
                <w:sz w:val="22"/>
              </w:rPr>
              <w:t>~18.3% EBITA margin implied</w:t>
            </w:r>
          </w:p>
        </w:tc>
        <w:tc>
          <w:tcPr>
            <w:tcW w:type="dxa" w:w="1728"/>
          </w:tcPr>
          <w:p>
            <w:r>
              <w:rPr>
                <w:rFonts w:ascii="Calibri" w:hAnsi="Calibri"/>
                <w:sz w:val="22"/>
              </w:rPr>
              <w:t>Consistent with guide; well above 30% long-term algorithm</w:t>
            </w:r>
          </w:p>
        </w:tc>
      </w:tr>
      <w:tr>
        <w:tc>
          <w:tcPr>
            <w:tcW w:type="dxa" w:w="1728"/>
          </w:tcPr>
          <w:p>
            <w:r>
              <w:rPr>
                <w:rFonts w:ascii="Calibri" w:hAnsi="Calibri"/>
                <w:sz w:val="22"/>
              </w:rPr>
              <w:t>FY2026 Free Cash Flow Conversion</w:t>
            </w:r>
          </w:p>
        </w:tc>
        <w:tc>
          <w:tcPr>
            <w:tcW w:type="dxa" w:w="1728"/>
          </w:tcPr>
          <w:p>
            <w:r>
              <w:rPr>
                <w:rFonts w:ascii="Calibri" w:hAnsi="Calibri"/>
                <w:sz w:val="22"/>
              </w:rPr>
              <w:t>~100%</w:t>
            </w:r>
          </w:p>
        </w:tc>
        <w:tc>
          <w:tcPr>
            <w:tcW w:type="dxa" w:w="1728"/>
          </w:tcPr>
          <w:p>
            <w:r>
              <w:rPr>
                <w:rFonts w:ascii="Calibri" w:hAnsi="Calibri"/>
                <w:sz w:val="22"/>
              </w:rPr>
              <w:t>—</w:t>
            </w:r>
          </w:p>
        </w:tc>
        <w:tc>
          <w:tcPr>
            <w:tcW w:type="dxa" w:w="1728"/>
          </w:tcPr>
          <w:p>
            <w:r>
              <w:rPr>
                <w:rFonts w:ascii="Calibri" w:hAnsi="Calibri"/>
                <w:sz w:val="22"/>
              </w:rPr>
              <w:t>~100%</w:t>
            </w:r>
          </w:p>
        </w:tc>
        <w:tc>
          <w:tcPr>
            <w:tcW w:type="dxa" w:w="1728"/>
          </w:tcPr>
          <w:p>
            <w:r>
              <w:rPr>
                <w:rFonts w:ascii="Calibri" w:hAnsi="Calibri"/>
                <w:sz w:val="22"/>
              </w:rPr>
              <w:t>Unchanged; management confident on FCF quality</w:t>
            </w:r>
          </w:p>
        </w:tc>
      </w:tr>
      <w:tr>
        <w:tc>
          <w:tcPr>
            <w:tcW w:type="dxa" w:w="1728"/>
          </w:tcPr>
          <w:p>
            <w:r>
              <w:rPr>
                <w:rFonts w:ascii="Calibri" w:hAnsi="Calibri"/>
                <w:sz w:val="22"/>
              </w:rPr>
              <w:t>Long-Term Organic Growth Algorithm</w:t>
            </w:r>
          </w:p>
        </w:tc>
        <w:tc>
          <w:tcPr>
            <w:tcW w:type="dxa" w:w="1728"/>
          </w:tcPr>
          <w:p>
            <w:r>
              <w:rPr>
                <w:rFonts w:ascii="Calibri" w:hAnsi="Calibri"/>
                <w:sz w:val="22"/>
              </w:rPr>
              <w:t>Mid-single-digit (prior)</w:t>
            </w:r>
          </w:p>
        </w:tc>
        <w:tc>
          <w:tcPr>
            <w:tcW w:type="dxa" w:w="1728"/>
          </w:tcPr>
          <w:p>
            <w:r>
              <w:rPr>
                <w:rFonts w:ascii="Calibri" w:hAnsi="Calibri"/>
                <w:sz w:val="22"/>
              </w:rPr>
              <w:t>High-single-digit (upgraded at Gemba Day, June 1, 2026)</w:t>
            </w:r>
          </w:p>
        </w:tc>
        <w:tc>
          <w:tcPr>
            <w:tcW w:type="dxa" w:w="1728"/>
          </w:tcPr>
          <w:p>
            <w:r>
              <w:rPr>
                <w:rFonts w:ascii="Calibri" w:hAnsi="Calibri"/>
                <w:sz w:val="22"/>
              </w:rPr>
              <w:t>N/A (LT target)</w:t>
            </w:r>
          </w:p>
        </w:tc>
        <w:tc>
          <w:tcPr>
            <w:tcW w:type="dxa" w:w="1728"/>
          </w:tcPr>
          <w:p>
            <w:r>
              <w:rPr>
                <w:rFonts w:ascii="Calibri" w:hAnsi="Calibri"/>
                <w:sz w:val="22"/>
              </w:rPr>
              <w:t>↑ Upgraded at Gemba Day June 1, 2026; data center revenue targeted at ~1/3 of company within 5 years</w:t>
            </w:r>
          </w:p>
        </w:tc>
      </w:tr>
    </w:tbl>
    <w:p>
      <w:r>
        <w:rPr>
          <w:rFonts w:ascii="Calibri" w:hAnsi="Calibri"/>
          <w:color w:val="525866"/>
          <w:sz w:val="22"/>
        </w:rPr>
        <w:t>Sources: JCI Q2 FY2026 Earnings Call transcript (May 6, 2026); JCI Gemba Day transcript (June 1,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Q2 print — 3Q FY2026 EPS consensus moved from $1.29 to $1.30 and FY2026 EPS from $4.87 to $4.90. </w:t>
      </w:r>
      <w:r>
        <w:rPr>
          <w:rFonts w:ascii="Calibri" w:hAnsi="Calibri"/>
          <w:b/>
          <w:color w:val="525866"/>
          <w:sz w:val="22"/>
        </w:rPr>
        <w:t>Revisions are tracking guidance rather than diverging</w:t>
      </w:r>
      <w:r>
        <w:rPr>
          <w:rFonts w:ascii="Calibri" w:hAnsi="Calibri"/>
          <w:color w:val="525866"/>
          <w:sz w:val="22"/>
        </w:rPr>
        <w:t>, suggesting the Street is comfortable with management's algorithm but not aggressively front-running another beat. The small positive gap between consensus and guidance midpoints represents modest cushion, not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(c. May 13,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3Q FY2026</w:t>
            </w:r>
          </w:p>
        </w:tc>
        <w:tc>
          <w:tcPr>
            <w:tcW w:type="dxa" w:w="1080"/>
          </w:tcPr>
          <w:p>
            <w:r>
              <w:rPr>
                <w:rFonts w:ascii="Calibri" w:hAnsi="Calibri"/>
                <w:sz w:val="22"/>
              </w:rPr>
              <w:t>$1.29</w:t>
            </w:r>
          </w:p>
        </w:tc>
        <w:tc>
          <w:tcPr>
            <w:tcW w:type="dxa" w:w="1080"/>
          </w:tcPr>
          <w:p>
            <w:r>
              <w:rPr>
                <w:rFonts w:ascii="Calibri" w:hAnsi="Calibri"/>
                <w:sz w:val="22"/>
              </w:rPr>
              <w:t>$1.30</w:t>
            </w:r>
          </w:p>
        </w:tc>
        <w:tc>
          <w:tcPr>
            <w:tcW w:type="dxa" w:w="1080"/>
          </w:tcPr>
          <w:p>
            <w:r>
              <w:rPr>
                <w:rFonts w:ascii="Calibri" w:hAnsi="Calibri"/>
                <w:b/>
                <w:color w:val="30A46C"/>
                <w:sz w:val="22"/>
              </w:rPr>
              <w:t>+0.8%</w:t>
            </w:r>
          </w:p>
        </w:tc>
        <w:tc>
          <w:tcPr>
            <w:tcW w:type="dxa" w:w="1080"/>
          </w:tcPr>
          <w:p>
            <w:r>
              <w:rPr>
                <w:rFonts w:ascii="Calibri" w:hAnsi="Calibri"/>
                <w:sz w:val="22"/>
              </w:rPr>
              <w:t>~$1.28</w:t>
            </w:r>
          </w:p>
        </w:tc>
        <w:tc>
          <w:tcPr>
            <w:tcW w:type="dxa" w:w="1080"/>
          </w:tcPr>
          <w:p>
            <w:r>
              <w:rPr>
                <w:rFonts w:ascii="Calibri" w:hAnsi="Calibri"/>
                <w:sz w:val="22"/>
              </w:rPr>
              <w:t>~$1.28 (unchanged)</w:t>
            </w:r>
          </w:p>
        </w:tc>
        <w:tc>
          <w:tcPr>
            <w:tcW w:type="dxa" w:w="1080"/>
          </w:tcPr>
          <w:p>
            <w:r>
              <w:rPr>
                <w:rFonts w:ascii="Calibri" w:hAnsi="Calibri"/>
                <w:sz w:val="22"/>
              </w:rPr>
              <w:t>Unchanged</w:t>
            </w:r>
          </w:p>
        </w:tc>
        <w:tc>
          <w:tcPr>
            <w:tcW w:type="dxa" w:w="1080"/>
          </w:tcPr>
          <w:p>
            <w:r>
              <w:rPr>
                <w:rFonts w:ascii="Calibri" w:hAnsi="Calibri"/>
                <w:sz w:val="22"/>
              </w:rPr>
              <w:t>+1.6% above guide</w:t>
            </w:r>
          </w:p>
        </w:tc>
      </w:tr>
      <w:tr>
        <w:tc>
          <w:tcPr>
            <w:tcW w:type="dxa" w:w="1080"/>
          </w:tcPr>
          <w:p>
            <w:r>
              <w:rPr>
                <w:rFonts w:ascii="Calibri" w:hAnsi="Calibri"/>
                <w:sz w:val="22"/>
              </w:rPr>
              <w:t>Net Revenue — 3Q FY2026</w:t>
            </w:r>
          </w:p>
        </w:tc>
        <w:tc>
          <w:tcPr>
            <w:tcW w:type="dxa" w:w="1080"/>
          </w:tcPr>
          <w:p>
            <w:r>
              <w:rPr>
                <w:rFonts w:ascii="Calibri" w:hAnsi="Calibri"/>
                <w:sz w:val="22"/>
              </w:rPr>
              <w:t>$6.45B</w:t>
            </w:r>
          </w:p>
        </w:tc>
        <w:tc>
          <w:tcPr>
            <w:tcW w:type="dxa" w:w="1080"/>
          </w:tcPr>
          <w:p>
            <w:r>
              <w:rPr>
                <w:rFonts w:ascii="Calibri" w:hAnsi="Calibri"/>
                <w:sz w:val="22"/>
              </w:rPr>
              <w:t>$6.45B</w:t>
            </w:r>
          </w:p>
        </w:tc>
        <w:tc>
          <w:tcPr>
            <w:tcW w:type="dxa" w:w="1080"/>
          </w:tcPr>
          <w:p>
            <w:r>
              <w:rPr>
                <w:rFonts w:ascii="Calibri" w:hAnsi="Calibri"/>
                <w:sz w:val="22"/>
              </w:rPr>
              <w:t>Flat</w:t>
            </w:r>
          </w:p>
        </w:tc>
        <w:tc>
          <w:tcPr>
            <w:tcW w:type="dxa" w:w="1080"/>
          </w:tcPr>
          <w:p>
            <w:r>
              <w:rPr>
                <w:rFonts w:ascii="Calibri" w:hAnsi="Calibri"/>
                <w:sz w:val="22"/>
              </w:rPr>
              <w:t>~6% organic growth</w:t>
            </w:r>
          </w:p>
        </w:tc>
        <w:tc>
          <w:tcPr>
            <w:tcW w:type="dxa" w:w="1080"/>
          </w:tcPr>
          <w:p>
            <w:r>
              <w:rPr>
                <w:rFonts w:ascii="Calibri" w:hAnsi="Calibri"/>
                <w:sz w:val="22"/>
              </w:rPr>
              <w:t>~6% organic (unchanged)</w:t>
            </w:r>
          </w:p>
        </w:tc>
        <w:tc>
          <w:tcPr>
            <w:tcW w:type="dxa" w:w="1080"/>
          </w:tcPr>
          <w:p>
            <w:r>
              <w:rPr>
                <w:rFonts w:ascii="Calibri" w:hAnsi="Calibri"/>
                <w:sz w:val="22"/>
              </w:rPr>
              <w:t>Unchanged</w:t>
            </w:r>
          </w:p>
        </w:tc>
        <w:tc>
          <w:tcPr>
            <w:tcW w:type="dxa" w:w="1080"/>
          </w:tcPr>
          <w:p>
            <w:r>
              <w:rPr>
                <w:rFonts w:ascii="Calibri" w:hAnsi="Calibri"/>
                <w:sz w:val="22"/>
              </w:rPr>
              <w:t>In line with guide</w:t>
            </w:r>
          </w:p>
        </w:tc>
      </w:tr>
      <w:tr>
        <w:tc>
          <w:tcPr>
            <w:tcW w:type="dxa" w:w="1080"/>
          </w:tcPr>
          <w:p>
            <w:r>
              <w:rPr>
                <w:rFonts w:ascii="Calibri" w:hAnsi="Calibri"/>
                <w:sz w:val="22"/>
              </w:rPr>
              <w:t>EBITA Margin — 3Q FY2026</w:t>
            </w:r>
          </w:p>
        </w:tc>
        <w:tc>
          <w:tcPr>
            <w:tcW w:type="dxa" w:w="1080"/>
          </w:tcPr>
          <w:p>
            <w:r>
              <w:rPr>
                <w:rFonts w:ascii="Calibri" w:hAnsi="Calibri"/>
                <w:sz w:val="22"/>
              </w:rPr>
              <w:t>18.76%</w:t>
            </w:r>
          </w:p>
        </w:tc>
        <w:tc>
          <w:tcPr>
            <w:tcW w:type="dxa" w:w="1080"/>
          </w:tcPr>
          <w:p>
            <w:r>
              <w:rPr>
                <w:rFonts w:ascii="Calibri" w:hAnsi="Calibri"/>
                <w:sz w:val="22"/>
              </w:rPr>
              <w:t>18.77%</w:t>
            </w:r>
          </w:p>
        </w:tc>
        <w:tc>
          <w:tcPr>
            <w:tcW w:type="dxa" w:w="1080"/>
          </w:tcPr>
          <w:p>
            <w:r>
              <w:rPr>
                <w:rFonts w:ascii="Calibri" w:hAnsi="Calibri"/>
                <w:sz w:val="22"/>
              </w:rPr>
              <w:t>Flat</w:t>
            </w:r>
          </w:p>
        </w:tc>
        <w:tc>
          <w:tcPr>
            <w:tcW w:type="dxa" w:w="1080"/>
          </w:tcPr>
          <w:p>
            <w:r>
              <w:rPr>
                <w:rFonts w:ascii="Calibri" w:hAnsi="Calibri"/>
                <w:sz w:val="22"/>
              </w:rPr>
              <w:t>~45% op. leverage</w:t>
            </w:r>
          </w:p>
        </w:tc>
        <w:tc>
          <w:tcPr>
            <w:tcW w:type="dxa" w:w="1080"/>
          </w:tcPr>
          <w:p>
            <w:r>
              <w:rPr>
                <w:rFonts w:ascii="Calibri" w:hAnsi="Calibri"/>
                <w:sz w:val="22"/>
              </w:rPr>
              <w:t>~45% op. leverage (unchanged)</w:t>
            </w:r>
          </w:p>
        </w:tc>
        <w:tc>
          <w:tcPr>
            <w:tcW w:type="dxa" w:w="1080"/>
          </w:tcPr>
          <w:p>
            <w:r>
              <w:rPr>
                <w:rFonts w:ascii="Calibri" w:hAnsi="Calibri"/>
                <w:sz w:val="22"/>
              </w:rPr>
              <w:t>Unchanged</w:t>
            </w:r>
          </w:p>
        </w:tc>
        <w:tc>
          <w:tcPr>
            <w:tcW w:type="dxa" w:w="1080"/>
          </w:tcPr>
          <w:p>
            <w:r>
              <w:rPr>
                <w:rFonts w:ascii="Calibri" w:hAnsi="Calibri"/>
                <w:sz w:val="22"/>
              </w:rPr>
              <w:t>Consistent with guide</w:t>
            </w:r>
          </w:p>
        </w:tc>
      </w:tr>
      <w:tr>
        <w:tc>
          <w:tcPr>
            <w:tcW w:type="dxa" w:w="1080"/>
          </w:tcPr>
          <w:p>
            <w:r>
              <w:rPr>
                <w:rFonts w:ascii="Calibri" w:hAnsi="Calibri"/>
                <w:sz w:val="22"/>
              </w:rPr>
              <w:t>Adj. EPS — FY2026</w:t>
            </w:r>
          </w:p>
        </w:tc>
        <w:tc>
          <w:tcPr>
            <w:tcW w:type="dxa" w:w="1080"/>
          </w:tcPr>
          <w:p>
            <w:r>
              <w:rPr>
                <w:rFonts w:ascii="Calibri" w:hAnsi="Calibri"/>
                <w:sz w:val="22"/>
              </w:rPr>
              <w:t>$4.87</w:t>
            </w:r>
          </w:p>
        </w:tc>
        <w:tc>
          <w:tcPr>
            <w:tcW w:type="dxa" w:w="1080"/>
          </w:tcPr>
          <w:p>
            <w:r>
              <w:rPr>
                <w:rFonts w:ascii="Calibri" w:hAnsi="Calibri"/>
                <w:sz w:val="22"/>
              </w:rPr>
              <w:t>$4.90</w:t>
            </w:r>
          </w:p>
        </w:tc>
        <w:tc>
          <w:tcPr>
            <w:tcW w:type="dxa" w:w="1080"/>
          </w:tcPr>
          <w:p>
            <w:r>
              <w:rPr>
                <w:rFonts w:ascii="Calibri" w:hAnsi="Calibri"/>
                <w:b/>
                <w:color w:val="30A46C"/>
                <w:sz w:val="22"/>
              </w:rPr>
              <w:t>+0.6%</w:t>
            </w:r>
          </w:p>
        </w:tc>
        <w:tc>
          <w:tcPr>
            <w:tcW w:type="dxa" w:w="1080"/>
          </w:tcPr>
          <w:p>
            <w:r>
              <w:rPr>
                <w:rFonts w:ascii="Calibri" w:hAnsi="Calibri"/>
                <w:sz w:val="22"/>
              </w:rPr>
              <w:t>~$4.85</w:t>
            </w:r>
          </w:p>
        </w:tc>
        <w:tc>
          <w:tcPr>
            <w:tcW w:type="dxa" w:w="1080"/>
          </w:tcPr>
          <w:p>
            <w:r>
              <w:rPr>
                <w:rFonts w:ascii="Calibri" w:hAnsi="Calibri"/>
                <w:sz w:val="22"/>
              </w:rPr>
              <w:t>~$4.85 (unchanged)</w:t>
            </w:r>
          </w:p>
        </w:tc>
        <w:tc>
          <w:tcPr>
            <w:tcW w:type="dxa" w:w="1080"/>
          </w:tcPr>
          <w:p>
            <w:r>
              <w:rPr>
                <w:rFonts w:ascii="Calibri" w:hAnsi="Calibri"/>
                <w:sz w:val="22"/>
              </w:rPr>
              <w:t>Unchanged</w:t>
            </w:r>
          </w:p>
        </w:tc>
        <w:tc>
          <w:tcPr>
            <w:tcW w:type="dxa" w:w="1080"/>
          </w:tcPr>
          <w:p>
            <w:r>
              <w:rPr>
                <w:rFonts w:ascii="Calibri" w:hAnsi="Calibri"/>
                <w:sz w:val="22"/>
              </w:rPr>
              <w:t>+1.0% above guide</w:t>
            </w:r>
          </w:p>
        </w:tc>
      </w:tr>
      <w:tr>
        <w:tc>
          <w:tcPr>
            <w:tcW w:type="dxa" w:w="1080"/>
          </w:tcPr>
          <w:p>
            <w:r>
              <w:rPr>
                <w:rFonts w:ascii="Calibri" w:hAnsi="Calibri"/>
                <w:sz w:val="22"/>
              </w:rPr>
              <w:t>Net Revenue — FY2026</w:t>
            </w:r>
          </w:p>
        </w:tc>
        <w:tc>
          <w:tcPr>
            <w:tcW w:type="dxa" w:w="1080"/>
          </w:tcPr>
          <w:p>
            <w:r>
              <w:rPr>
                <w:rFonts w:ascii="Calibri" w:hAnsi="Calibri"/>
                <w:sz w:val="22"/>
              </w:rPr>
              <w:t>$25.24B</w:t>
            </w:r>
          </w:p>
        </w:tc>
        <w:tc>
          <w:tcPr>
            <w:tcW w:type="dxa" w:w="1080"/>
          </w:tcPr>
          <w:p>
            <w:r>
              <w:rPr>
                <w:rFonts w:ascii="Calibri" w:hAnsi="Calibri"/>
                <w:sz w:val="22"/>
              </w:rPr>
              <w:t>$25.26B</w:t>
            </w:r>
          </w:p>
        </w:tc>
        <w:tc>
          <w:tcPr>
            <w:tcW w:type="dxa" w:w="1080"/>
          </w:tcPr>
          <w:p>
            <w:r>
              <w:rPr>
                <w:rFonts w:ascii="Calibri" w:hAnsi="Calibri"/>
                <w:sz w:val="22"/>
              </w:rPr>
              <w:t>+0.1%</w:t>
            </w:r>
          </w:p>
        </w:tc>
        <w:tc>
          <w:tcPr>
            <w:tcW w:type="dxa" w:w="1080"/>
          </w:tcPr>
          <w:p>
            <w:r>
              <w:rPr>
                <w:rFonts w:ascii="Calibri" w:hAnsi="Calibri"/>
                <w:sz w:val="22"/>
              </w:rPr>
              <w:t>~6% organic growth</w:t>
            </w:r>
          </w:p>
        </w:tc>
        <w:tc>
          <w:tcPr>
            <w:tcW w:type="dxa" w:w="1080"/>
          </w:tcPr>
          <w:p>
            <w:r>
              <w:rPr>
                <w:rFonts w:ascii="Calibri" w:hAnsi="Calibri"/>
                <w:sz w:val="22"/>
              </w:rPr>
              <w:t>~6% organic (unchanged)</w:t>
            </w:r>
          </w:p>
        </w:tc>
        <w:tc>
          <w:tcPr>
            <w:tcW w:type="dxa" w:w="1080"/>
          </w:tcPr>
          <w:p>
            <w:r>
              <w:rPr>
                <w:rFonts w:ascii="Calibri" w:hAnsi="Calibri"/>
                <w:sz w:val="22"/>
              </w:rPr>
              <w:t>Unchanged</w:t>
            </w:r>
          </w:p>
        </w:tc>
        <w:tc>
          <w:tcPr>
            <w:tcW w:type="dxa" w:w="1080"/>
          </w:tcPr>
          <w:p>
            <w:r>
              <w:rPr>
                <w:rFonts w:ascii="Calibri" w:hAnsi="Calibri"/>
                <w:sz w:val="22"/>
              </w:rPr>
              <w:t>In line with guide</w:t>
            </w:r>
          </w:p>
        </w:tc>
      </w:tr>
      <w:tr>
        <w:tc>
          <w:tcPr>
            <w:tcW w:type="dxa" w:w="1080"/>
          </w:tcPr>
          <w:p>
            <w:r>
              <w:rPr>
                <w:rFonts w:ascii="Calibri" w:hAnsi="Calibri"/>
                <w:sz w:val="22"/>
              </w:rPr>
              <w:t>EBITA Margin — FY2026</w:t>
            </w:r>
          </w:p>
        </w:tc>
        <w:tc>
          <w:tcPr>
            <w:tcW w:type="dxa" w:w="1080"/>
          </w:tcPr>
          <w:p>
            <w:r>
              <w:rPr>
                <w:rFonts w:ascii="Calibri" w:hAnsi="Calibri"/>
                <w:sz w:val="22"/>
              </w:rPr>
              <w:t>18.29%</w:t>
            </w:r>
          </w:p>
        </w:tc>
        <w:tc>
          <w:tcPr>
            <w:tcW w:type="dxa" w:w="1080"/>
          </w:tcPr>
          <w:p>
            <w:r>
              <w:rPr>
                <w:rFonts w:ascii="Calibri" w:hAnsi="Calibri"/>
                <w:sz w:val="22"/>
              </w:rPr>
              <w:t>18.35%</w:t>
            </w:r>
          </w:p>
        </w:tc>
        <w:tc>
          <w:tcPr>
            <w:tcW w:type="dxa" w:w="1080"/>
          </w:tcPr>
          <w:p>
            <w:r>
              <w:rPr>
                <w:rFonts w:ascii="Calibri" w:hAnsi="Calibri"/>
                <w:sz w:val="22"/>
              </w:rPr>
              <w:t>+0.3%</w:t>
            </w:r>
          </w:p>
        </w:tc>
        <w:tc>
          <w:tcPr>
            <w:tcW w:type="dxa" w:w="1080"/>
          </w:tcPr>
          <w:p>
            <w:r>
              <w:rPr>
                <w:rFonts w:ascii="Calibri" w:hAnsi="Calibri"/>
                <w:sz w:val="22"/>
              </w:rPr>
              <w:t>~50% op. leverage</w:t>
            </w:r>
          </w:p>
        </w:tc>
        <w:tc>
          <w:tcPr>
            <w:tcW w:type="dxa" w:w="1080"/>
          </w:tcPr>
          <w:p>
            <w:r>
              <w:rPr>
                <w:rFonts w:ascii="Calibri" w:hAnsi="Calibri"/>
                <w:sz w:val="22"/>
              </w:rPr>
              <w:t>~50% op. leverage (unchanged)</w:t>
            </w:r>
          </w:p>
        </w:tc>
        <w:tc>
          <w:tcPr>
            <w:tcW w:type="dxa" w:w="1080"/>
          </w:tcPr>
          <w:p>
            <w:r>
              <w:rPr>
                <w:rFonts w:ascii="Calibri" w:hAnsi="Calibri"/>
                <w:sz w:val="22"/>
              </w:rPr>
              <w:t>Unchanged</w:t>
            </w:r>
          </w:p>
        </w:tc>
        <w:tc>
          <w:tcPr>
            <w:tcW w:type="dxa" w:w="1080"/>
          </w:tcPr>
          <w:p>
            <w:r>
              <w:rPr>
                <w:rFonts w:ascii="Calibri" w:hAnsi="Calibri"/>
                <w:sz w:val="22"/>
              </w:rPr>
              <w:t>Consistent with guide</w:t>
            </w:r>
          </w:p>
        </w:tc>
      </w:tr>
    </w:tbl>
    <w:p>
      <w:r>
        <w:rPr>
          <w:rFonts w:ascii="Calibri" w:hAnsi="Calibri"/>
          <w:color w:val="525866"/>
          <w:sz w:val="22"/>
        </w:rPr>
        <w:t>Estimates have been remarkably stable since the Q2 print, with only a modest ~$0.01 upward drift in 3Q EPS and ~$0.03 in FY EPS. This stability reflects the Street's comfort with management's guidance algorithm and the absence of any post-earnings pre-announcements or guidance revisions. The small positive gap between consensus and guidance midpoints (~1–2%) represents a modest cushion rather than a stretched bar. Source: Visible Alpha consensus and actuals data; as-of date May 13, 2026 (approximately 5 trading days post Q2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JCI has </w:t>
      </w:r>
      <w:r>
        <w:rPr>
          <w:rFonts w:ascii="Calibri" w:hAnsi="Calibri"/>
          <w:b/>
          <w:color w:val="525866"/>
          <w:sz w:val="22"/>
        </w:rPr>
        <w:t>underperformed XLI by ~5 percentage points and the S&amp;P 500 by ~3 points since the Q2 earnings date (May 6, 2026)</w:t>
      </w:r>
      <w:r>
        <w:rPr>
          <w:rFonts w:ascii="Calibri" w:hAnsi="Calibri"/>
          <w:color w:val="525866"/>
          <w:sz w:val="22"/>
        </w:rPr>
        <w:t>, despite a solid beat-and-raise. The underperformance reflects multiple compression (NTM EV/EBITDA contracted from ~19.8x to ~18.7x over 3 months) rather than estimate cuts — the stock re-rated lower as the market digested the elevated post-Q1 multiple. The 6-month picture is more constructive: JCI is up ~22% over 6 months, driven by ~12% multiple expansion as the data center thesis gained credibility.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JCI vs. XLI vs. S&amp;P 500 — Indexed to 100 at Q2 FY2026 Earnings Date (May 6, 2026).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JCI Price Change</w:t>
            </w:r>
          </w:p>
        </w:tc>
        <w:tc>
          <w:tcPr>
            <w:tcW w:type="dxa" w:w="1728"/>
            <w:shd w:val="clear" w:color="auto" w:fill="3B4259"/>
          </w:tcPr>
          <w:p>
            <w:r>
              <w:rPr>
                <w:rFonts w:ascii="Calibri" w:hAnsi="Calibri"/>
                <w:b/>
                <w:color w:val="FFFFFF"/>
                <w:sz w:val="22"/>
              </w:rPr>
              <w:t>NTM EV/EBITDA Change</w:t>
            </w:r>
          </w:p>
        </w:tc>
        <w:tc>
          <w:tcPr>
            <w:tcW w:type="dxa" w:w="1728"/>
            <w:shd w:val="clear" w:color="auto" w:fill="3B4259"/>
          </w:tcPr>
          <w:p>
            <w:r>
              <w:rPr>
                <w:rFonts w:ascii="Calibri" w:hAnsi="Calibri"/>
                <w:b/>
                <w:color w:val="FFFFFF"/>
                <w:sz w:val="22"/>
              </w:rPr>
              <w:t>Latest NTM EV/EBITDA</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1 Month</w:t>
            </w:r>
          </w:p>
        </w:tc>
        <w:tc>
          <w:tcPr>
            <w:tcW w:type="dxa" w:w="1728"/>
          </w:tcPr>
          <w:p>
            <w:r>
              <w:rPr>
                <w:rFonts w:ascii="Calibri" w:hAnsi="Calibri"/>
                <w:sz w:val="22"/>
              </w:rPr>
              <w:t>+1.4%</w:t>
            </w:r>
          </w:p>
        </w:tc>
        <w:tc>
          <w:tcPr>
            <w:tcW w:type="dxa" w:w="1728"/>
          </w:tcPr>
          <w:p>
            <w:r>
              <w:rPr>
                <w:rFonts w:ascii="Calibri" w:hAnsi="Calibri"/>
                <w:sz w:val="22"/>
              </w:rPr>
              <w:t>-2.3%</w:t>
            </w:r>
          </w:p>
        </w:tc>
        <w:tc>
          <w:tcPr>
            <w:tcW w:type="dxa" w:w="1728"/>
          </w:tcPr>
          <w:p>
            <w:r>
              <w:rPr>
                <w:rFonts w:ascii="Calibri" w:hAnsi="Calibri"/>
                <w:sz w:val="22"/>
              </w:rPr>
              <w:t>18.7x</w:t>
            </w:r>
          </w:p>
        </w:tc>
        <w:tc>
          <w:tcPr>
            <w:tcW w:type="dxa" w:w="1728"/>
          </w:tcPr>
          <w:p>
            <w:r>
              <w:rPr>
                <w:rFonts w:ascii="Calibri" w:hAnsi="Calibri"/>
                <w:sz w:val="22"/>
              </w:rPr>
              <w:t>Slight price gain driven by earnings-related positioning; multiple compressed modestly</w:t>
            </w:r>
          </w:p>
        </w:tc>
      </w:tr>
      <w:tr>
        <w:tc>
          <w:tcPr>
            <w:tcW w:type="dxa" w:w="1728"/>
          </w:tcPr>
          <w:p>
            <w:r>
              <w:rPr>
                <w:rFonts w:ascii="Calibri" w:hAnsi="Calibri"/>
                <w:sz w:val="22"/>
              </w:rPr>
              <w:t>3 Months</w:t>
            </w:r>
          </w:p>
        </w:tc>
        <w:tc>
          <w:tcPr>
            <w:tcW w:type="dxa" w:w="1728"/>
          </w:tcPr>
          <w:p>
            <w:r>
              <w:rPr>
                <w:rFonts w:ascii="Calibri" w:hAnsi="Calibri"/>
                <w:sz w:val="22"/>
              </w:rPr>
              <w:t>-2.1%</w:t>
            </w:r>
          </w:p>
        </w:tc>
        <w:tc>
          <w:tcPr>
            <w:tcW w:type="dxa" w:w="1728"/>
          </w:tcPr>
          <w:p>
            <w:r>
              <w:rPr>
                <w:rFonts w:ascii="Calibri" w:hAnsi="Calibri"/>
                <w:sz w:val="22"/>
              </w:rPr>
              <w:t>-5.6%</w:t>
            </w:r>
          </w:p>
        </w:tc>
        <w:tc>
          <w:tcPr>
            <w:tcW w:type="dxa" w:w="1728"/>
          </w:tcPr>
          <w:p>
            <w:r>
              <w:rPr>
                <w:rFonts w:ascii="Calibri" w:hAnsi="Calibri"/>
                <w:sz w:val="22"/>
              </w:rPr>
              <w:t>18.7x</w:t>
            </w:r>
          </w:p>
        </w:tc>
        <w:tc>
          <w:tcPr>
            <w:tcW w:type="dxa" w:w="1728"/>
          </w:tcPr>
          <w:p>
            <w:r>
              <w:rPr>
                <w:rFonts w:ascii="Calibri" w:hAnsi="Calibri"/>
                <w:sz w:val="22"/>
              </w:rPr>
              <w:t>Post-Q2 multiple compression; stock digesting elevated valuation after Q1 re-rating</w:t>
            </w:r>
          </w:p>
        </w:tc>
      </w:tr>
      <w:tr>
        <w:tc>
          <w:tcPr>
            <w:tcW w:type="dxa" w:w="1728"/>
          </w:tcPr>
          <w:p>
            <w:r>
              <w:rPr>
                <w:rFonts w:ascii="Calibri" w:hAnsi="Calibri"/>
                <w:sz w:val="22"/>
              </w:rPr>
              <w:t>6 Months</w:t>
            </w:r>
          </w:p>
        </w:tc>
        <w:tc>
          <w:tcPr>
            <w:tcW w:type="dxa" w:w="1728"/>
          </w:tcPr>
          <w:p>
            <w:r>
              <w:rPr>
                <w:rFonts w:ascii="Calibri" w:hAnsi="Calibri"/>
                <w:sz w:val="22"/>
              </w:rPr>
              <w:t>+21.9%</w:t>
            </w:r>
          </w:p>
        </w:tc>
        <w:tc>
          <w:tcPr>
            <w:tcW w:type="dxa" w:w="1728"/>
          </w:tcPr>
          <w:p>
            <w:r>
              <w:rPr>
                <w:rFonts w:ascii="Calibri" w:hAnsi="Calibri"/>
                <w:sz w:val="22"/>
              </w:rPr>
              <w:t>+12.4%</w:t>
            </w:r>
          </w:p>
        </w:tc>
        <w:tc>
          <w:tcPr>
            <w:tcW w:type="dxa" w:w="1728"/>
          </w:tcPr>
          <w:p>
            <w:r>
              <w:rPr>
                <w:rFonts w:ascii="Calibri" w:hAnsi="Calibri"/>
                <w:sz w:val="22"/>
              </w:rPr>
              <w:t>18.7x</w:t>
            </w:r>
          </w:p>
        </w:tc>
        <w:tc>
          <w:tcPr>
            <w:tcW w:type="dxa" w:w="1728"/>
          </w:tcPr>
          <w:p>
            <w:r>
              <w:rPr>
                <w:rFonts w:ascii="Calibri" w:hAnsi="Calibri"/>
                <w:sz w:val="22"/>
              </w:rPr>
              <w:t>Strong re-rating driven by data center thesis; multiple expansion was the primary driver</w:t>
            </w:r>
          </w:p>
        </w:tc>
      </w:tr>
      <w:tr>
        <w:tc>
          <w:tcPr>
            <w:tcW w:type="dxa" w:w="1728"/>
          </w:tcPr>
          <w:p>
            <w:r>
              <w:rPr>
                <w:rFonts w:ascii="Calibri" w:hAnsi="Calibri"/>
                <w:sz w:val="22"/>
              </w:rPr>
              <w:t>12 Months</w:t>
            </w:r>
          </w:p>
        </w:tc>
        <w:tc>
          <w:tcPr>
            <w:tcW w:type="dxa" w:w="1728"/>
          </w:tcPr>
          <w:p>
            <w:r>
              <w:rPr>
                <w:rFonts w:ascii="Calibri" w:hAnsi="Calibri"/>
                <w:sz w:val="22"/>
              </w:rPr>
              <w:t>+25.6%</w:t>
            </w:r>
          </w:p>
        </w:tc>
        <w:tc>
          <w:tcPr>
            <w:tcW w:type="dxa" w:w="1728"/>
          </w:tcPr>
          <w:p>
            <w:r>
              <w:rPr>
                <w:rFonts w:ascii="Calibri" w:hAnsi="Calibri"/>
                <w:sz w:val="22"/>
              </w:rPr>
              <w:t>-4.8%</w:t>
            </w:r>
          </w:p>
        </w:tc>
        <w:tc>
          <w:tcPr>
            <w:tcW w:type="dxa" w:w="1728"/>
          </w:tcPr>
          <w:p>
            <w:r>
              <w:rPr>
                <w:rFonts w:ascii="Calibri" w:hAnsi="Calibri"/>
                <w:sz w:val="22"/>
              </w:rPr>
              <w:t>18.7x</w:t>
            </w:r>
          </w:p>
        </w:tc>
        <w:tc>
          <w:tcPr>
            <w:tcW w:type="dxa" w:w="1728"/>
          </w:tcPr>
          <w:p>
            <w:r>
              <w:rPr>
                <w:rFonts w:ascii="Calibri" w:hAnsi="Calibri"/>
                <w:sz w:val="22"/>
              </w:rPr>
              <w:t>12-month gain driven by earnings growth; multiple is roughly flat vs. a year ago</w:t>
            </w:r>
          </w:p>
        </w:tc>
      </w:tr>
    </w:tbl>
    <w:p>
      <w:r>
        <w:rPr>
          <w:rFonts w:ascii="Calibri" w:hAnsi="Calibri"/>
          <w:b/>
          <w:color w:val="525866"/>
          <w:sz w:val="22"/>
        </w:rPr>
        <w:t xml:space="preserve">Key Events Since Q2 Earnings (May 6, 2026): </w:t>
      </w:r>
      <w:r>
        <w:rPr>
          <w:rFonts w:ascii="Calibri" w:hAnsi="Calibri"/>
          <w:color w:val="525866"/>
          <w:sz w:val="22"/>
        </w:rPr>
        <w:t>The most notable post-earnings event was the June 1 Gemba Day investor visit, which initially drove a sharp rally (JCI surged from ~$134 to ~$147 on June 2–4) as management demonstrated 4x manufacturing capacity expansion and upgraded the long-term growth algorithm. The stock subsequently gave back those gains through late June and July, settling near $140 ahead of the Q3 print. Source: Yahoo Finance / Stock Price Data; JCI Gemba Day transcript (June 1,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Q2 print is the </w:t>
      </w:r>
      <w:r>
        <w:rPr>
          <w:rFonts w:ascii="Calibri" w:hAnsi="Calibri"/>
          <w:b/>
          <w:color w:val="525866"/>
          <w:sz w:val="22"/>
        </w:rPr>
        <w:t>June 1 Gemba Day</w:t>
      </w:r>
      <w:r>
        <w:rPr>
          <w:rFonts w:ascii="Calibri" w:hAnsi="Calibri"/>
          <w:color w:val="525866"/>
          <w:sz w:val="22"/>
        </w:rPr>
        <w:t>, which upgraded the long-term growth algorithm and demonstrated tangible manufacturing productivity gains — directly validating the business system thesis and providing a positive setup for Q3. Portfolio rationalization (security asset divestitures) remains an active catalyst.</w:t>
      </w:r>
    </w:p>
    <w:p>
      <w:pPr>
        <w:pStyle w:val="ListBullet"/>
        <w:ind w:left="360" w:hanging="360"/>
      </w:pPr>
      <w:r>
        <w:rPr>
          <w:rFonts w:ascii="Calibri" w:hAnsi="Calibri"/>
          <w:b/>
          <w:color w:val="525866"/>
          <w:sz w:val="22"/>
        </w:rPr>
        <w:t>June 1, 2026 — Gemba Day Investor Event (Reaffirm Long-Term Algorithm):</w:t>
      </w:r>
      <w:r>
        <w:rPr>
          <w:rFonts w:ascii="Calibri" w:hAnsi="Calibri"/>
          <w:color w:val="525866"/>
          <w:sz w:val="22"/>
        </w:rPr>
        <w:t xml:space="preserve"> Management upgraded the long-term organic growth algorithm from mid-single-digit to high-single-digit, demonstrated 4x manufacturing capacity expansion at the ACE facility (on-time delivery improved from 43% to 100% in 4 months), and targeted data center revenue growing to ~1/3 of the company within 5 years. CEO stated JCI was "born for this time" given thermal management capabilities. Implication: </w:t>
      </w:r>
      <w:r>
        <w:rPr>
          <w:rFonts w:ascii="Calibri" w:hAnsi="Calibri"/>
          <w:b/>
          <w:color w:val="525866"/>
          <w:sz w:val="22"/>
        </w:rPr>
        <w:t>Strongest positive catalyst since Q1 earnings; directly supports the Q3 orders and margin narrative.</w:t>
      </w:r>
    </w:p>
    <w:p>
      <w:pPr>
        <w:pStyle w:val="ListBullet"/>
        <w:ind w:left="360" w:hanging="360"/>
      </w:pPr>
      <w:r>
        <w:rPr>
          <w:rFonts w:ascii="Calibri" w:hAnsi="Calibri"/>
          <w:b/>
          <w:color w:val="525866"/>
          <w:sz w:val="22"/>
        </w:rPr>
        <w:t>May 13, 2026 — Executive Compensation Tied to 5-Year Growth Targets (8-K):</w:t>
      </w:r>
      <w:r>
        <w:rPr>
          <w:rFonts w:ascii="Calibri" w:hAnsi="Calibri"/>
          <w:color w:val="525866"/>
          <w:sz w:val="22"/>
        </w:rPr>
        <w:t xml:space="preserve"> JCI tied executive pay to ambitious 5-year growth targets, signaling management's confidence in the long-term algorithm and aligning incentives with the data center and life sciences growth thesis. Implication: </w:t>
      </w:r>
      <w:r>
        <w:rPr>
          <w:rFonts w:ascii="Calibri" w:hAnsi="Calibri"/>
          <w:b/>
          <w:color w:val="525866"/>
          <w:sz w:val="22"/>
        </w:rPr>
        <w:t>Positive signal on management conviction; reduces risk of near-term strategy pivot.</w:t>
      </w:r>
    </w:p>
    <w:p>
      <w:pPr>
        <w:pStyle w:val="ListBullet"/>
        <w:ind w:left="360" w:hanging="360"/>
      </w:pPr>
      <w:r>
        <w:rPr>
          <w:rFonts w:ascii="Calibri" w:hAnsi="Calibri"/>
          <w:b/>
          <w:color w:val="525866"/>
          <w:sz w:val="22"/>
        </w:rPr>
        <w:t>May 4, 2026 — Executive Departure Amid Operating Model Changes (8-K):</w:t>
      </w:r>
      <w:r>
        <w:rPr>
          <w:rFonts w:ascii="Calibri" w:hAnsi="Calibri"/>
          <w:color w:val="525866"/>
          <w:sz w:val="22"/>
        </w:rPr>
        <w:t xml:space="preserve"> JCI announced an executive departure tied to operating model changes, consistent with the ongoing business system transformation and organizational restructuring under the new CEO. Implication: </w:t>
      </w:r>
      <w:r>
        <w:rPr>
          <w:rFonts w:ascii="Calibri" w:hAnsi="Calibri"/>
          <w:b/>
          <w:color w:val="525866"/>
          <w:sz w:val="22"/>
        </w:rPr>
        <w:t>Neutral to slightly positive; reflects active transformation rather than instability.</w:t>
      </w:r>
    </w:p>
    <w:p>
      <w:pPr>
        <w:pStyle w:val="ListBullet"/>
        <w:ind w:left="360" w:hanging="360"/>
      </w:pPr>
      <w:r>
        <w:rPr>
          <w:rFonts w:ascii="Calibri" w:hAnsi="Calibri"/>
          <w:b/>
          <w:color w:val="525866"/>
          <w:sz w:val="22"/>
        </w:rPr>
        <w:t>Ongoing — Portfolio Rationalization (Security Asset Divestitures):</w:t>
      </w:r>
      <w:r>
        <w:rPr>
          <w:rFonts w:ascii="Calibri" w:hAnsi="Calibri"/>
          <w:color w:val="525866"/>
          <w:sz w:val="22"/>
        </w:rPr>
        <w:t xml:space="preserve"> Bloomberg reporting identified Access Control and Intrusion Detection units as potential divestiture candidates. Management confirmed the scope of potential divestitures has widened to "a little bit more than 10%" of revenues, with financial advisers engaged. Implication: </w:t>
      </w:r>
      <w:r>
        <w:rPr>
          <w:rFonts w:ascii="Calibri" w:hAnsi="Calibri"/>
          <w:b/>
          <w:color w:val="525866"/>
          <w:sz w:val="22"/>
        </w:rPr>
        <w:t>Potential catalyst for multiple re-rating if announced; management tone has shifted from exploratory to action-oriented.</w:t>
      </w:r>
    </w:p>
    <w:p>
      <w:pPr>
        <w:pStyle w:val="ListBullet"/>
        <w:ind w:left="360" w:hanging="360"/>
      </w:pPr>
      <w:r>
        <w:rPr>
          <w:rFonts w:ascii="Calibri" w:hAnsi="Calibri"/>
          <w:b/>
          <w:color w:val="525866"/>
          <w:sz w:val="22"/>
        </w:rPr>
        <w:t>July 28, 2026 — Carrier Global Q2 2026 Earnings (Peer Read-Through):</w:t>
      </w:r>
      <w:r>
        <w:rPr>
          <w:rFonts w:ascii="Calibri" w:hAnsi="Calibri"/>
          <w:color w:val="525866"/>
          <w:sz w:val="22"/>
        </w:rPr>
        <w:t xml:space="preserve"> Carrier reported data center orders up 4x YoY in Q2, raised full-year data center revenue outlook to ~$2B (from $1.5B), and guided Q3 organic growth of ~10%. Implication: </w:t>
      </w:r>
      <w:r>
        <w:rPr>
          <w:rFonts w:ascii="Calibri" w:hAnsi="Calibri"/>
          <w:b/>
          <w:color w:val="525866"/>
          <w:sz w:val="22"/>
        </w:rPr>
        <w:t>Strongly positive read-through for JCI's data center demand; validates the sustained order momentum thesis.</w:t>
      </w:r>
    </w:p>
    <w:p>
      <w:pPr>
        <w:pStyle w:val="ListBullet"/>
        <w:ind w:left="360" w:hanging="360"/>
      </w:pPr>
      <w:r>
        <w:rPr>
          <w:rFonts w:ascii="Calibri" w:hAnsi="Calibri"/>
          <w:b/>
          <w:color w:val="525866"/>
          <w:sz w:val="22"/>
        </w:rPr>
        <w:t>July 23, 2026 — Honeywell Technologies Q2 2026 Earnings (Peer Read-Through):</w:t>
      </w:r>
      <w:r>
        <w:rPr>
          <w:rFonts w:ascii="Calibri" w:hAnsi="Calibri"/>
          <w:color w:val="525866"/>
          <w:sz w:val="22"/>
        </w:rPr>
        <w:t xml:space="preserve"> HON reported building automation orders up 50%+ in high-growth verticals (healthcare, hospitality, data centers) and raised FY2026 EPS guidance. Implication: </w:t>
      </w:r>
      <w:r>
        <w:rPr>
          <w:rFonts w:ascii="Calibri" w:hAnsi="Calibri"/>
          <w:b/>
          <w:color w:val="525866"/>
          <w:sz w:val="22"/>
        </w:rPr>
        <w:t>Positive read-through for JCI's commercial HVAC and building automation segments.</w:t>
      </w:r>
    </w:p>
    <w:p>
      <w:pPr>
        <w:pStyle w:val="ListBullet"/>
        <w:ind w:left="360" w:hanging="360"/>
      </w:pPr>
      <w:r>
        <w:rPr>
          <w:rFonts w:ascii="Calibri" w:hAnsi="Calibri"/>
          <w:b/>
          <w:color w:val="525866"/>
          <w:sz w:val="22"/>
        </w:rPr>
        <w:t>July 23, 2026 — Allegion Q2 2026 Earnings (Peer Read-Through):</w:t>
      </w:r>
      <w:r>
        <w:rPr>
          <w:rFonts w:ascii="Calibri" w:hAnsi="Calibri"/>
          <w:color w:val="525866"/>
          <w:sz w:val="22"/>
        </w:rPr>
        <w:t xml:space="preserve"> ALLE reported 13% revenue growth, raised FY2026 guidance, and cited robust specification activity in non-residential markets as a leading indicator for the next 12–18 months. Implication: </w:t>
      </w:r>
      <w:r>
        <w:rPr>
          <w:rFonts w:ascii="Calibri" w:hAnsi="Calibri"/>
          <w:b/>
          <w:color w:val="525866"/>
          <w:sz w:val="22"/>
        </w:rPr>
        <w:t>Positive read-through for JCI's Americas building solutions pipeline.</w:t>
      </w:r>
    </w:p>
    <w:p>
      <w:pPr>
        <w:pStyle w:val="ListBullet"/>
        <w:ind w:left="360" w:hanging="360"/>
      </w:pPr>
      <w:r>
        <w:rPr>
          <w:rFonts w:ascii="Calibri" w:hAnsi="Calibri"/>
          <w:b/>
          <w:color w:val="525866"/>
          <w:sz w:val="22"/>
        </w:rPr>
        <w:t>Industrials Sector Backdrop:</w:t>
      </w:r>
      <w:r>
        <w:rPr>
          <w:rFonts w:ascii="Calibri" w:hAnsi="Calibri"/>
          <w:color w:val="525866"/>
          <w:sz w:val="22"/>
        </w:rPr>
        <w:t xml:space="preserve"> The S&amp;P 500 Industrials sector is trading at a forward P/E above 30x (well above the ~20x long-term average), driven by AI data center buildout and power grid investments. JCI at ~25x NTM P/E is at a discount to the sector, which could support relative performance if Q3 execution is solid.</w:t>
      </w:r>
    </w:p>
    <w:p>
      <w:r>
        <w:br w:type="page"/>
      </w:r>
    </w:p>
    <w:p>
      <w:pPr>
        <w:pStyle w:val="Heading2"/>
      </w:pPr>
      <w:r>
        <w:rPr>
          <w:rFonts w:ascii="Calibri" w:hAnsi="Calibri"/>
          <w:b/>
          <w:color w:val="3B4259"/>
          <w:sz w:val="28"/>
        </w:rPr>
        <w:t>7. Peer Commentary Read-Through (Last 60 Days)</w:t>
      </w:r>
    </w:p>
    <w:p>
      <w:r>
        <w:rPr>
          <w:rFonts w:ascii="Calibri" w:hAnsi="Calibri"/>
          <w:b/>
          <w:color w:val="525866"/>
          <w:sz w:val="22"/>
        </w:rPr>
        <w:t xml:space="preserve">Scope Note: </w:t>
      </w:r>
      <w:r>
        <w:rPr>
          <w:rFonts w:ascii="Calibri" w:hAnsi="Calibri"/>
          <w:color w:val="525866"/>
          <w:sz w:val="22"/>
        </w:rPr>
        <w:t xml:space="preserve">This section includes only peer commentary that is relevant to the </w:t>
      </w:r>
      <w:r>
        <w:rPr>
          <w:rFonts w:ascii="Calibri" w:hAnsi="Calibri"/>
          <w:b/>
          <w:color w:val="525866"/>
          <w:sz w:val="22"/>
        </w:rPr>
        <w:t>current reporting quarter (JCI's fiscal Q3 FY2026, ending June 30, 2026)</w:t>
      </w:r>
      <w:r>
        <w:rPr>
          <w:rFonts w:ascii="Calibri" w:hAnsi="Calibri"/>
          <w:color w:val="525866"/>
          <w:sz w:val="22"/>
        </w:rPr>
        <w:t xml:space="preserve">. Specifically, we include: (1) peer Q2 calendar 2026 earnings calls (reporting on the quarter ending June 30, 2026, which is the same calendar period as JCI's fiscal Q3), and (2) intra-quarter commentary about current demand conditions made after JCI's last earnings (May 6, 2026). </w:t>
      </w:r>
      <w:r>
        <w:rPr>
          <w:rFonts w:ascii="Calibri" w:hAnsi="Calibri"/>
          <w:b/>
          <w:color w:val="525866"/>
          <w:sz w:val="22"/>
        </w:rPr>
        <w:t xml:space="preserve">Excluded: </w:t>
      </w:r>
      <w:r>
        <w:rPr>
          <w:rFonts w:ascii="Calibri" w:hAnsi="Calibri"/>
          <w:color w:val="525866"/>
          <w:sz w:val="22"/>
        </w:rPr>
        <w:t>peer commentary about prior-quarter results (e.g., Q1 calendar 2026 earnings calls reporting on March 31, 2026 results) that does not contain forward-looking color on the June quarter or beyond.</w:t>
      </w:r>
    </w:p>
    <w:p>
      <w:pPr>
        <w:pStyle w:val="Heading3"/>
      </w:pPr>
      <w:r>
        <w:rPr>
          <w:rFonts w:ascii="Calibri" w:hAnsi="Calibri"/>
          <w:b/>
          <w:color w:val="3B4259"/>
          <w:sz w:val="24"/>
        </w:rPr>
        <w:t>Carrier Global (CARR) — Q2 Calendar 2026 Earnings (July 28, 2026)</w:t>
      </w:r>
    </w:p>
    <w:p>
      <w:r>
        <w:rPr>
          <w:rFonts w:ascii="Calibri" w:hAnsi="Calibri"/>
          <w:b/>
          <w:color w:val="525866"/>
          <w:sz w:val="22"/>
        </w:rPr>
        <w:t xml:space="preserve">Relevance: </w:t>
      </w:r>
      <w:r>
        <w:rPr>
          <w:rFonts w:ascii="Calibri" w:hAnsi="Calibri"/>
          <w:color w:val="525866"/>
          <w:sz w:val="22"/>
        </w:rPr>
        <w:t>Carrier is JCI's most direct peer in commercial HVAC and data center thermal management. CARR's Q2 calendar 2026 (ending June 30, 2026) is the same calendar period as JCI's fiscal Q3 FY2026.</w:t>
      </w:r>
    </w:p>
    <w:p>
      <w:pPr>
        <w:pStyle w:val="ListBullet"/>
        <w:ind w:left="360" w:hanging="360"/>
      </w:pPr>
      <w:r>
        <w:rPr>
          <w:rFonts w:ascii="Calibri" w:hAnsi="Calibri"/>
          <w:b/>
          <w:color w:val="525866"/>
          <w:sz w:val="22"/>
        </w:rPr>
        <w:t>Data Center Orders Up 4x YoY:</w:t>
      </w:r>
      <w:r>
        <w:rPr>
          <w:rFonts w:ascii="Calibri" w:hAnsi="Calibri"/>
          <w:color w:val="525866"/>
          <w:sz w:val="22"/>
        </w:rPr>
        <w:t xml:space="preserve"> Carrier reported total company orders up ~40% in Q2, with commercial HVAC orders up ~65% and data center orders specifically up 4x year-over-year. This is the same calendar quarter as JCI's fiscal Q3. </w:t>
      </w:r>
      <w:r>
        <w:rPr>
          <w:rFonts w:ascii="Calibri" w:hAnsi="Calibri"/>
          <w:b/>
          <w:color w:val="525866"/>
          <w:sz w:val="22"/>
        </w:rPr>
        <w:t>Implication: Extremely positive read-through for JCI's data center orders momentum; if Carrier saw 4x growth, JCI's 30% Q2 organic orders growth likely sustained or accelerated in Q3.</w:t>
      </w:r>
    </w:p>
    <w:p>
      <w:pPr>
        <w:pStyle w:val="ListBullet"/>
        <w:ind w:left="360" w:hanging="360"/>
      </w:pPr>
      <w:r>
        <w:rPr>
          <w:rFonts w:ascii="Calibri" w:hAnsi="Calibri"/>
          <w:b/>
          <w:color w:val="525866"/>
          <w:sz w:val="22"/>
        </w:rPr>
        <w:t>Full-Year Data Center Revenue Raised to ~$2B:</w:t>
      </w:r>
      <w:r>
        <w:rPr>
          <w:rFonts w:ascii="Calibri" w:hAnsi="Calibri"/>
          <w:color w:val="525866"/>
          <w:sz w:val="22"/>
        </w:rPr>
        <w:t xml:space="preserve"> Carrier raised its FY2026 data center revenue outlook from $1.5B to ~$2B, noting "our 2026 data center sales forecast is all in backlog." The exit rate for data center sales leaving 2026 is projected at ~$2.5B, implying strong 2027 visibility. </w:t>
      </w:r>
      <w:r>
        <w:rPr>
          <w:rFonts w:ascii="Calibri" w:hAnsi="Calibri"/>
          <w:b/>
          <w:color w:val="525866"/>
          <w:sz w:val="22"/>
        </w:rPr>
        <w:t>Implication: Validates JCI's record $20B backlog and supports the thesis that backlog conversion will accelerate in H2 FY2026.</w:t>
      </w:r>
    </w:p>
    <w:p>
      <w:pPr>
        <w:pStyle w:val="ListBullet"/>
        <w:ind w:left="360" w:hanging="360"/>
      </w:pPr>
      <w:r>
        <w:rPr>
          <w:rFonts w:ascii="Calibri" w:hAnsi="Calibri"/>
          <w:b/>
          <w:color w:val="525866"/>
          <w:sz w:val="22"/>
        </w:rPr>
        <w:t>Liquid Cooling Portfolio Expanding:</w:t>
      </w:r>
      <w:r>
        <w:rPr>
          <w:rFonts w:ascii="Calibri" w:hAnsi="Calibri"/>
          <w:color w:val="525866"/>
          <w:sz w:val="22"/>
        </w:rPr>
        <w:t xml:space="preserve"> Carrier is launching a 2.6MW CDU in Q3 and a 5MW CDU by year-end, with its 1.3MW CDU seeing "good demand" in Q2. </w:t>
      </w:r>
      <w:r>
        <w:rPr>
          <w:rFonts w:ascii="Calibri" w:hAnsi="Calibri"/>
          <w:b/>
          <w:color w:val="525866"/>
          <w:sz w:val="22"/>
        </w:rPr>
        <w:t>Implication: Confirms the liquid cooling market is developing rapidly; JCI's Alloy acquisition and CDU roadmap are well-timed.</w:t>
      </w:r>
    </w:p>
    <w:p>
      <w:pPr>
        <w:pStyle w:val="ListBullet"/>
        <w:ind w:left="360" w:hanging="360"/>
      </w:pPr>
      <w:r>
        <w:rPr>
          <w:rFonts w:ascii="Calibri" w:hAnsi="Calibri"/>
          <w:b/>
          <w:color w:val="525866"/>
          <w:sz w:val="22"/>
        </w:rPr>
        <w:t>Americas Residential Up High-Single-Digits:</w:t>
      </w:r>
      <w:r>
        <w:rPr>
          <w:rFonts w:ascii="Calibri" w:hAnsi="Calibri"/>
          <w:color w:val="525866"/>
          <w:sz w:val="22"/>
        </w:rPr>
        <w:t xml:space="preserve"> Carrier's CSA residential sales were up 9% in Q2, with the market expected to be ~7–7.5M units for the year. Field inventory levels ended Q2 down ~25% YoY. </w:t>
      </w:r>
      <w:r>
        <w:rPr>
          <w:rFonts w:ascii="Calibri" w:hAnsi="Calibri"/>
          <w:b/>
          <w:color w:val="525866"/>
          <w:sz w:val="22"/>
        </w:rPr>
        <w:t>Implication: Positive for JCI's Global Products segment residential exposure.</w:t>
      </w:r>
    </w:p>
    <w:p>
      <w:pPr>
        <w:pStyle w:val="ListBullet"/>
        <w:ind w:left="360" w:hanging="360"/>
      </w:pPr>
      <w:r>
        <w:rPr>
          <w:rFonts w:ascii="Calibri" w:hAnsi="Calibri"/>
          <w:b/>
          <w:color w:val="525866"/>
          <w:sz w:val="22"/>
        </w:rPr>
        <w:t>Tariff Headwinds on Margins:</w:t>
      </w:r>
      <w:r>
        <w:rPr>
          <w:rFonts w:ascii="Calibri" w:hAnsi="Calibri"/>
          <w:color w:val="525866"/>
          <w:sz w:val="22"/>
        </w:rPr>
        <w:t xml:space="preserve"> Carrier noted tariffs were a "net negative" on Q2 margins and will be "slightly margin dilutive" in Q3, as pricing primarily offsets tariff costs rather than providing a margin benefit. </w:t>
      </w:r>
      <w:r>
        <w:rPr>
          <w:rFonts w:ascii="Calibri" w:hAnsi="Calibri"/>
          <w:b/>
          <w:color w:val="525866"/>
          <w:sz w:val="22"/>
        </w:rPr>
        <w:t>Implication: JCI may face similar tariff-related margin headwinds; watch for commentary on pricing actions and cost pass-through.</w:t>
      </w:r>
    </w:p>
    <w:p>
      <w:pPr>
        <w:pStyle w:val="ListBullet"/>
        <w:ind w:left="360" w:hanging="360"/>
      </w:pPr>
      <w:r>
        <w:rPr>
          <w:rFonts w:ascii="Calibri" w:hAnsi="Calibri"/>
          <w:b/>
          <w:color w:val="525866"/>
          <w:sz w:val="22"/>
        </w:rPr>
        <w:t>European Commercial Sales Below Expectations:</w:t>
      </w:r>
      <w:r>
        <w:rPr>
          <w:rFonts w:ascii="Calibri" w:hAnsi="Calibri"/>
          <w:color w:val="525866"/>
          <w:sz w:val="22"/>
        </w:rPr>
        <w:t xml:space="preserve"> Carrier's European commercial sales were "lower than expected in the first half," though Q2 orders growth of 20% and a strengthening backlog provide confidence for mid-single-digit growth in H2. </w:t>
      </w:r>
      <w:r>
        <w:rPr>
          <w:rFonts w:ascii="Calibri" w:hAnsi="Calibri"/>
          <w:b/>
          <w:color w:val="525866"/>
          <w:sz w:val="22"/>
        </w:rPr>
        <w:t>Implication: Modest caution on JCI's EMEA segment, though JCI's EMEA exposure is also impacted by Middle East conflict disruption.</w:t>
      </w:r>
    </w:p>
    <w:p>
      <w:pPr>
        <w:pStyle w:val="Heading3"/>
      </w:pPr>
      <w:r>
        <w:rPr>
          <w:rFonts w:ascii="Calibri" w:hAnsi="Calibri"/>
          <w:b/>
          <w:color w:val="3B4259"/>
          <w:sz w:val="24"/>
        </w:rPr>
        <w:t>Honeywell Technologies (HON) — Q2 Calendar 2026 Earnings (July 23, 2026)</w:t>
      </w:r>
    </w:p>
    <w:p>
      <w:r>
        <w:rPr>
          <w:rFonts w:ascii="Calibri" w:hAnsi="Calibri"/>
          <w:b/>
          <w:color w:val="525866"/>
          <w:sz w:val="22"/>
        </w:rPr>
        <w:t xml:space="preserve">Relevance: </w:t>
      </w:r>
      <w:r>
        <w:rPr>
          <w:rFonts w:ascii="Calibri" w:hAnsi="Calibri"/>
          <w:color w:val="525866"/>
          <w:sz w:val="22"/>
        </w:rPr>
        <w:t>HON's Building Automation segment (commercial HVAC, fire, security, BMS) is a direct peer to JCI's core business. HON's Q2 calendar 2026 (ending June 30, 2026) is the same calendar period as JCI's fiscal Q3 FY2026. Note: HON completed the separation of Honeywell Aerospace on June 29, 2026, so results reflect the standalone Honeywell Technologies entity.</w:t>
      </w:r>
    </w:p>
    <w:p>
      <w:pPr>
        <w:pStyle w:val="ListBullet"/>
        <w:ind w:left="360" w:hanging="360"/>
      </w:pPr>
      <w:r>
        <w:rPr>
          <w:rFonts w:ascii="Calibri" w:hAnsi="Calibri"/>
          <w:b/>
          <w:color w:val="525866"/>
          <w:sz w:val="22"/>
        </w:rPr>
        <w:t>Building Automation Orders Up 50%+ in High-Growth Verticals:</w:t>
      </w:r>
      <w:r>
        <w:rPr>
          <w:rFonts w:ascii="Calibri" w:hAnsi="Calibri"/>
          <w:color w:val="525866"/>
          <w:sz w:val="22"/>
        </w:rPr>
        <w:t xml:space="preserve"> HON reported 9% organic growth in Building Automation in Q2, with orders up "over 50%" in high-growth verticals (healthcare, hospitality, data centers) and ~30% in the core business. This is the sixth consecutive quarter of high-single-digit or better growth in this segment. </w:t>
      </w:r>
      <w:r>
        <w:rPr>
          <w:rFonts w:ascii="Calibri" w:hAnsi="Calibri"/>
          <w:b/>
          <w:color w:val="525866"/>
          <w:sz w:val="22"/>
        </w:rPr>
        <w:t>Implication: Sustained, broad-based demand in commercial building automation directly supports JCI's Q3 orders and revenue outlook.</w:t>
      </w:r>
    </w:p>
    <w:p>
      <w:pPr>
        <w:pStyle w:val="ListBullet"/>
        <w:ind w:left="360" w:hanging="360"/>
      </w:pPr>
      <w:r>
        <w:rPr>
          <w:rFonts w:ascii="Calibri" w:hAnsi="Calibri"/>
          <w:b/>
          <w:color w:val="525866"/>
          <w:sz w:val="22"/>
        </w:rPr>
        <w:t>Total Company Orders Up 16% Organically:</w:t>
      </w:r>
      <w:r>
        <w:rPr>
          <w:rFonts w:ascii="Calibri" w:hAnsi="Calibri"/>
          <w:color w:val="525866"/>
          <w:sz w:val="22"/>
        </w:rPr>
        <w:t xml:space="preserve"> HON reported 16% organic orders growth in Q2, with a total company book-to-bill of 1.1x and ending backlog up 9%. Process Automation orders grew nearly 25% with a book-to-bill above 1.2x. </w:t>
      </w:r>
      <w:r>
        <w:rPr>
          <w:rFonts w:ascii="Calibri" w:hAnsi="Calibri"/>
          <w:b/>
          <w:color w:val="525866"/>
          <w:sz w:val="22"/>
        </w:rPr>
        <w:t>Implication: Broad-based demand strength across industrial and building markets is a positive read-through for JCI's diversified building solutions portfolio.</w:t>
      </w:r>
    </w:p>
    <w:p>
      <w:pPr>
        <w:pStyle w:val="ListBullet"/>
        <w:ind w:left="360" w:hanging="360"/>
      </w:pPr>
      <w:r>
        <w:rPr>
          <w:rFonts w:ascii="Calibri" w:hAnsi="Calibri"/>
          <w:b/>
          <w:color w:val="525866"/>
          <w:sz w:val="22"/>
        </w:rPr>
        <w:t>Data Center Opportunity Expanding Beyond HVAC:</w:t>
      </w:r>
      <w:r>
        <w:rPr>
          <w:rFonts w:ascii="Calibri" w:hAnsi="Calibri"/>
          <w:color w:val="525866"/>
          <w:sz w:val="22"/>
        </w:rPr>
        <w:t xml:space="preserve"> HON noted data centers have grown from "almost nothing 3–4 years ago" to ~5% of Building Automation revenue, with expansion into on-site power generation automation and liquid cooling sensing. </w:t>
      </w:r>
      <w:r>
        <w:rPr>
          <w:rFonts w:ascii="Calibri" w:hAnsi="Calibri"/>
          <w:b/>
          <w:color w:val="525866"/>
          <w:sz w:val="22"/>
        </w:rPr>
        <w:t>Implication: Confirms the multi-decade data center buildout is still in early innings; JCI's thermal management positioning is well-timed.</w:t>
      </w:r>
    </w:p>
    <w:p>
      <w:pPr>
        <w:pStyle w:val="ListBullet"/>
        <w:ind w:left="360" w:hanging="360"/>
      </w:pPr>
      <w:r>
        <w:rPr>
          <w:rFonts w:ascii="Calibri" w:hAnsi="Calibri"/>
          <w:b/>
          <w:color w:val="525866"/>
          <w:sz w:val="22"/>
        </w:rPr>
        <w:t>Pricing Covering Inflation:</w:t>
      </w:r>
      <w:r>
        <w:rPr>
          <w:rFonts w:ascii="Calibri" w:hAnsi="Calibri"/>
          <w:color w:val="525866"/>
          <w:sz w:val="22"/>
        </w:rPr>
        <w:t xml:space="preserve"> HON achieved ~3.7% price realization in Q2 and expects ~4% in H2, effectively covering inflation. Margin expansion of 100 bps was driven primarily by productivity and cost takeout rather than price/cost. </w:t>
      </w:r>
      <w:r>
        <w:rPr>
          <w:rFonts w:ascii="Calibri" w:hAnsi="Calibri"/>
          <w:b/>
          <w:color w:val="525866"/>
          <w:sz w:val="22"/>
        </w:rPr>
        <w:t>Implication: JCI should be able to achieve similar pricing discipline; watch for commentary on gross margin improvement from business system productivity.</w:t>
      </w:r>
    </w:p>
    <w:p>
      <w:pPr>
        <w:pStyle w:val="ListBullet"/>
        <w:ind w:left="360" w:hanging="360"/>
      </w:pPr>
      <w:r>
        <w:rPr>
          <w:rFonts w:ascii="Calibri" w:hAnsi="Calibri"/>
          <w:b/>
          <w:color w:val="525866"/>
          <w:sz w:val="22"/>
        </w:rPr>
        <w:t>Middle East Normalizing:</w:t>
      </w:r>
      <w:r>
        <w:rPr>
          <w:rFonts w:ascii="Calibri" w:hAnsi="Calibri"/>
          <w:color w:val="525866"/>
          <w:sz w:val="22"/>
        </w:rPr>
        <w:t xml:space="preserve"> HON noted collection issues in the Middle East peaked in March/April and have started to normalize, with full-year Middle East revenue expected to be up high-single-digits and orders up ~40%. </w:t>
      </w:r>
      <w:r>
        <w:rPr>
          <w:rFonts w:ascii="Calibri" w:hAnsi="Calibri"/>
          <w:b/>
          <w:color w:val="525866"/>
          <w:sz w:val="22"/>
        </w:rPr>
        <w:t>Implication: Positive for JCI's EMEA segment, which cited Middle East conflict disruption in Q2 FY2026 as a ~1/3 headwind to that region's business.</w:t>
      </w:r>
    </w:p>
    <w:p>
      <w:pPr>
        <w:pStyle w:val="ListBullet"/>
        <w:ind w:left="360" w:hanging="360"/>
      </w:pPr>
      <w:r>
        <w:rPr>
          <w:rFonts w:ascii="Calibri" w:hAnsi="Calibri"/>
          <w:b/>
          <w:color w:val="525866"/>
          <w:sz w:val="22"/>
        </w:rPr>
        <w:t>FY2026 Guidance Raised:</w:t>
      </w:r>
      <w:r>
        <w:rPr>
          <w:rFonts w:ascii="Calibri" w:hAnsi="Calibri"/>
          <w:color w:val="525866"/>
          <w:sz w:val="22"/>
        </w:rPr>
        <w:t xml:space="preserve"> HON raised FY2026 organic sales growth outlook to 3–4% (from 2–3%) and EPS to ~$8.20 (from ~$8.10 midpoint), with H2 expected to grow 4–6% organically. </w:t>
      </w:r>
      <w:r>
        <w:rPr>
          <w:rFonts w:ascii="Calibri" w:hAnsi="Calibri"/>
          <w:b/>
          <w:color w:val="525866"/>
          <w:sz w:val="22"/>
        </w:rPr>
        <w:t>Implication: Positive macro read-through; the building automation market is accelerating into H2, consistent with JCI's own guidance.</w:t>
      </w:r>
    </w:p>
    <w:p>
      <w:pPr>
        <w:pStyle w:val="Heading3"/>
      </w:pPr>
      <w:r>
        <w:rPr>
          <w:rFonts w:ascii="Calibri" w:hAnsi="Calibri"/>
          <w:b/>
          <w:color w:val="3B4259"/>
          <w:sz w:val="24"/>
        </w:rPr>
        <w:t>Allegion (ALLE) — Q2 Calendar 2026 Earnings (July 23, 2026)</w:t>
      </w:r>
    </w:p>
    <w:p>
      <w:r>
        <w:rPr>
          <w:rFonts w:ascii="Calibri" w:hAnsi="Calibri"/>
          <w:b/>
          <w:color w:val="525866"/>
          <w:sz w:val="22"/>
        </w:rPr>
        <w:t xml:space="preserve">Relevance: </w:t>
      </w:r>
      <w:r>
        <w:rPr>
          <w:rFonts w:ascii="Calibri" w:hAnsi="Calibri"/>
          <w:color w:val="525866"/>
          <w:sz w:val="22"/>
        </w:rPr>
        <w:t>Allegion is a peer in electronic security and access control, overlapping with JCI's security business segment. ALLE's Q2 calendar 2026 (ending June 30, 2026) is the same calendar period as JCI's fiscal Q3 FY2026.</w:t>
      </w:r>
    </w:p>
    <w:p>
      <w:pPr>
        <w:pStyle w:val="ListBullet"/>
        <w:ind w:left="360" w:hanging="360"/>
      </w:pPr>
      <w:r>
        <w:rPr>
          <w:rFonts w:ascii="Calibri" w:hAnsi="Calibri"/>
          <w:b/>
          <w:color w:val="525866"/>
          <w:sz w:val="22"/>
        </w:rPr>
        <w:t>Non-Residential Americas Demand Robust:</w:t>
      </w:r>
      <w:r>
        <w:rPr>
          <w:rFonts w:ascii="Calibri" w:hAnsi="Calibri"/>
          <w:color w:val="525866"/>
          <w:sz w:val="22"/>
        </w:rPr>
        <w:t xml:space="preserve"> Allegion reported high-single-digit organic growth in non-residential Americas in Q2, driven by both price and volume. Specification activity has been "robust for several quarters" and CEO John Stone said demand was "as strong as I've seen since I joined the company." Specification strength is expected to support non-residential organic growth for the next 12–18 months. </w:t>
      </w:r>
      <w:r>
        <w:rPr>
          <w:rFonts w:ascii="Calibri" w:hAnsi="Calibri"/>
          <w:b/>
          <w:color w:val="525866"/>
          <w:sz w:val="22"/>
        </w:rPr>
        <w:t>Implication: Strong leading indicator for JCI's Americas building solutions pipeline; project work visibility extends into FY2027.</w:t>
      </w:r>
    </w:p>
    <w:p>
      <w:pPr>
        <w:pStyle w:val="ListBullet"/>
        <w:ind w:left="360" w:hanging="360"/>
      </w:pPr>
      <w:r>
        <w:rPr>
          <w:rFonts w:ascii="Calibri" w:hAnsi="Calibri"/>
          <w:b/>
          <w:color w:val="525866"/>
          <w:sz w:val="22"/>
        </w:rPr>
        <w:t>Data Center Growing Rapidly:</w:t>
      </w:r>
      <w:r>
        <w:rPr>
          <w:rFonts w:ascii="Calibri" w:hAnsi="Calibri"/>
          <w:color w:val="525866"/>
          <w:sz w:val="22"/>
        </w:rPr>
        <w:t xml:space="preserve"> Data centers are "approaching 5% of non-residential business" for Allegion and "still growing very rapidly," with the installed base expected to drive aftermarket growth over time. </w:t>
      </w:r>
      <w:r>
        <w:rPr>
          <w:rFonts w:ascii="Calibri" w:hAnsi="Calibri"/>
          <w:b/>
          <w:color w:val="525866"/>
          <w:sz w:val="22"/>
        </w:rPr>
        <w:t>Implication: Confirms data center is a durable, multi-year growth vertical across the building technology ecosystem.</w:t>
      </w:r>
    </w:p>
    <w:p>
      <w:pPr>
        <w:pStyle w:val="ListBullet"/>
        <w:ind w:left="360" w:hanging="360"/>
      </w:pPr>
      <w:r>
        <w:rPr>
          <w:rFonts w:ascii="Calibri" w:hAnsi="Calibri"/>
          <w:b/>
          <w:color w:val="525866"/>
          <w:sz w:val="22"/>
        </w:rPr>
        <w:t>Electronics Upgrade Cycle Accelerating:</w:t>
      </w:r>
      <w:r>
        <w:rPr>
          <w:rFonts w:ascii="Calibri" w:hAnsi="Calibri"/>
          <w:color w:val="525866"/>
          <w:sz w:val="22"/>
        </w:rPr>
        <w:t xml:space="preserve"> Allegion cited large-scale hardware modernization in higher education (from traditional cards/keys to contactless mobile credentials), with flagship university deployments becoming "multimillion dollar opportunities." Electronics revenue in Americas was up low-teens in Q2. </w:t>
      </w:r>
      <w:r>
        <w:rPr>
          <w:rFonts w:ascii="Calibri" w:hAnsi="Calibri"/>
          <w:b/>
          <w:color w:val="525866"/>
          <w:sz w:val="22"/>
        </w:rPr>
        <w:t>Implication: Positive for JCI's electronic security and access control business; the upgrade cycle is broadening beyond data centers.</w:t>
      </w:r>
    </w:p>
    <w:p>
      <w:pPr>
        <w:pStyle w:val="ListBullet"/>
        <w:ind w:left="360" w:hanging="360"/>
      </w:pPr>
      <w:r>
        <w:rPr>
          <w:rFonts w:ascii="Calibri" w:hAnsi="Calibri"/>
          <w:b/>
          <w:color w:val="525866"/>
          <w:sz w:val="22"/>
        </w:rPr>
        <w:t>Germany/Europe Weakness:</w:t>
      </w:r>
      <w:r>
        <w:rPr>
          <w:rFonts w:ascii="Calibri" w:hAnsi="Calibri"/>
          <w:color w:val="525866"/>
          <w:sz w:val="22"/>
        </w:rPr>
        <w:t xml:space="preserve"> Allegion's International segment declined 1.2% organically in Q2, with Germany GDP growth forecasts "sequentially taken down with every update in the last 6–9 months." Allegion reduced its full-year International outlook to a low-single-digit organic decline. </w:t>
      </w:r>
      <w:r>
        <w:rPr>
          <w:rFonts w:ascii="Calibri" w:hAnsi="Calibri"/>
          <w:b/>
          <w:color w:val="525866"/>
          <w:sz w:val="22"/>
        </w:rPr>
        <w:t>Implication: Caution flag for JCI's EMEA segment; Germany macro headwinds are real and may weigh on JCI's European building solutions business.</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Allegion raised FY2026 reported revenue outlook to 7.5–8.5% and adjusted EPS to $8.85–9.00 (from $8.70–8.90), driven by stronger Americas demand. </w:t>
      </w:r>
      <w:r>
        <w:rPr>
          <w:rFonts w:ascii="Calibri" w:hAnsi="Calibri"/>
          <w:b/>
          <w:color w:val="525866"/>
          <w:sz w:val="22"/>
        </w:rPr>
        <w:t>Implication: Americas building market is outperforming expectations; positive for JCI's largest segment.</w:t>
      </w:r>
    </w:p>
    <w:p>
      <w:pPr>
        <w:pStyle w:val="Heading3"/>
      </w:pPr>
      <w:r>
        <w:rPr>
          <w:rFonts w:ascii="Calibri" w:hAnsi="Calibri"/>
          <w:b/>
          <w:color w:val="3B4259"/>
          <w:sz w:val="24"/>
        </w:rPr>
        <w:t>Xylem (XYL) — Q2 Calendar 2026 Earnings (July 28, 2026)</w:t>
      </w:r>
    </w:p>
    <w:p>
      <w:r>
        <w:rPr>
          <w:rFonts w:ascii="Calibri" w:hAnsi="Calibri"/>
          <w:b/>
          <w:color w:val="525866"/>
          <w:sz w:val="22"/>
        </w:rPr>
        <w:t xml:space="preserve">Relevance: </w:t>
      </w:r>
      <w:r>
        <w:rPr>
          <w:rFonts w:ascii="Calibri" w:hAnsi="Calibri"/>
          <w:color w:val="525866"/>
          <w:sz w:val="22"/>
        </w:rPr>
        <w:t>Xylem is a peer in water technology and building infrastructure solutions. XYL's Q2 calendar 2026 (ending June 30, 2026) is the same calendar period as JCI's fiscal Q3 FY2026.</w:t>
      </w:r>
    </w:p>
    <w:p>
      <w:pPr>
        <w:pStyle w:val="ListBullet"/>
        <w:ind w:left="360" w:hanging="360"/>
      </w:pPr>
      <w:r>
        <w:rPr>
          <w:rFonts w:ascii="Calibri" w:hAnsi="Calibri"/>
          <w:b/>
          <w:color w:val="525866"/>
          <w:sz w:val="22"/>
        </w:rPr>
        <w:t>Orders Surged 41% Organically:</w:t>
      </w:r>
      <w:r>
        <w:rPr>
          <w:rFonts w:ascii="Calibri" w:hAnsi="Calibri"/>
          <w:color w:val="525866"/>
          <w:sz w:val="22"/>
        </w:rPr>
        <w:t xml:space="preserve"> Xylem reported inline sales and EPS upside, with orders surging 41% organically in Q2. The organic sales forecast was tweaked lower while the EPS range was nudged higher. </w:t>
      </w:r>
      <w:r>
        <w:rPr>
          <w:rFonts w:ascii="Calibri" w:hAnsi="Calibri"/>
          <w:b/>
          <w:color w:val="525866"/>
          <w:sz w:val="22"/>
        </w:rPr>
        <w:t>Implication: Broad-based infrastructure demand remains robust; the orders surge is a positive read-through for JCI's own orders momentum.</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Data Point for JCI</w:t>
            </w:r>
          </w:p>
        </w:tc>
        <w:tc>
          <w:tcPr>
            <w:tcW w:type="dxa" w:w="1728"/>
            <w:shd w:val="clear" w:color="auto" w:fill="3B4259"/>
          </w:tcPr>
          <w:p>
            <w:r>
              <w:rPr>
                <w:rFonts w:ascii="Calibri" w:hAnsi="Calibri"/>
                <w:b/>
                <w:color w:val="FFFFFF"/>
                <w:sz w:val="22"/>
              </w:rPr>
              <w:t>JCI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CARR</w:t>
            </w:r>
          </w:p>
        </w:tc>
        <w:tc>
          <w:tcPr>
            <w:tcW w:type="dxa" w:w="1728"/>
          </w:tcPr>
          <w:p>
            <w:r>
              <w:rPr>
                <w:rFonts w:ascii="Calibri" w:hAnsi="Calibri"/>
                <w:sz w:val="22"/>
              </w:rPr>
              <w:t>Jul 28, 2026</w:t>
            </w:r>
          </w:p>
        </w:tc>
        <w:tc>
          <w:tcPr>
            <w:tcW w:type="dxa" w:w="1728"/>
          </w:tcPr>
          <w:p>
            <w:r>
              <w:rPr>
                <w:rFonts w:ascii="Calibri" w:hAnsi="Calibri"/>
                <w:sz w:val="22"/>
              </w:rPr>
              <w:t>Data center orders up 4x YoY; total orders +40%; FY DC revenue raised to $2B</w:t>
            </w:r>
          </w:p>
        </w:tc>
        <w:tc>
          <w:tcPr>
            <w:tcW w:type="dxa" w:w="1728"/>
          </w:tcPr>
          <w:p>
            <w:r>
              <w:rPr>
                <w:rFonts w:ascii="Calibri" w:hAnsi="Calibri"/>
                <w:sz w:val="22"/>
              </w:rPr>
              <w:t>Strongest positive signal for JCI data center orders momentum in Q3</w:t>
            </w:r>
          </w:p>
        </w:tc>
        <w:tc>
          <w:tcPr>
            <w:tcW w:type="dxa" w:w="1728"/>
          </w:tcPr>
          <w:p>
            <w:r>
              <w:rPr>
                <w:rFonts w:ascii="Calibri" w:hAnsi="Calibri"/>
                <w:b/>
                <w:color w:val="30A46C"/>
                <w:sz w:val="22"/>
              </w:rPr>
              <w:t>Positive</w:t>
            </w:r>
          </w:p>
        </w:tc>
      </w:tr>
      <w:tr>
        <w:tc>
          <w:tcPr>
            <w:tcW w:type="dxa" w:w="1728"/>
          </w:tcPr>
          <w:p>
            <w:r>
              <w:rPr>
                <w:rFonts w:ascii="Calibri" w:hAnsi="Calibri"/>
                <w:sz w:val="22"/>
              </w:rPr>
              <w:t>HON</w:t>
            </w:r>
          </w:p>
        </w:tc>
        <w:tc>
          <w:tcPr>
            <w:tcW w:type="dxa" w:w="1728"/>
          </w:tcPr>
          <w:p>
            <w:r>
              <w:rPr>
                <w:rFonts w:ascii="Calibri" w:hAnsi="Calibri"/>
                <w:sz w:val="22"/>
              </w:rPr>
              <w:t>Jul 23, 2026</w:t>
            </w:r>
          </w:p>
        </w:tc>
        <w:tc>
          <w:tcPr>
            <w:tcW w:type="dxa" w:w="1728"/>
          </w:tcPr>
          <w:p>
            <w:r>
              <w:rPr>
                <w:rFonts w:ascii="Calibri" w:hAnsi="Calibri"/>
                <w:sz w:val="22"/>
              </w:rPr>
              <w:t>Building automation orders +50%+ in high-growth verticals; total orders +16% organic</w:t>
            </w:r>
          </w:p>
        </w:tc>
        <w:tc>
          <w:tcPr>
            <w:tcW w:type="dxa" w:w="1728"/>
          </w:tcPr>
          <w:p>
            <w:r>
              <w:rPr>
                <w:rFonts w:ascii="Calibri" w:hAnsi="Calibri"/>
                <w:sz w:val="22"/>
              </w:rPr>
              <w:t>Broad-based building demand; Middle East normalizing; pricing covering inflation</w:t>
            </w:r>
          </w:p>
        </w:tc>
        <w:tc>
          <w:tcPr>
            <w:tcW w:type="dxa" w:w="1728"/>
          </w:tcPr>
          <w:p>
            <w:r>
              <w:rPr>
                <w:rFonts w:ascii="Calibri" w:hAnsi="Calibri"/>
                <w:b/>
                <w:color w:val="30A46C"/>
                <w:sz w:val="22"/>
              </w:rPr>
              <w:t>Positive</w:t>
            </w:r>
          </w:p>
        </w:tc>
      </w:tr>
      <w:tr>
        <w:tc>
          <w:tcPr>
            <w:tcW w:type="dxa" w:w="1728"/>
          </w:tcPr>
          <w:p>
            <w:r>
              <w:rPr>
                <w:rFonts w:ascii="Calibri" w:hAnsi="Calibri"/>
                <w:sz w:val="22"/>
              </w:rPr>
              <w:t>ALLE</w:t>
            </w:r>
          </w:p>
        </w:tc>
        <w:tc>
          <w:tcPr>
            <w:tcW w:type="dxa" w:w="1728"/>
          </w:tcPr>
          <w:p>
            <w:r>
              <w:rPr>
                <w:rFonts w:ascii="Calibri" w:hAnsi="Calibri"/>
                <w:sz w:val="22"/>
              </w:rPr>
              <w:t>Jul 23, 2026</w:t>
            </w:r>
          </w:p>
        </w:tc>
        <w:tc>
          <w:tcPr>
            <w:tcW w:type="dxa" w:w="1728"/>
          </w:tcPr>
          <w:p>
            <w:r>
              <w:rPr>
                <w:rFonts w:ascii="Calibri" w:hAnsi="Calibri"/>
                <w:sz w:val="22"/>
              </w:rPr>
              <w:t>Non-res Americas high-single-digit organic; specification activity strongest in years</w:t>
            </w:r>
          </w:p>
        </w:tc>
        <w:tc>
          <w:tcPr>
            <w:tcW w:type="dxa" w:w="1728"/>
          </w:tcPr>
          <w:p>
            <w:r>
              <w:rPr>
                <w:rFonts w:ascii="Calibri" w:hAnsi="Calibri"/>
                <w:sz w:val="22"/>
              </w:rPr>
              <w:t>Americas pipeline robust; Germany/Europe a caution flag for EMEA</w:t>
            </w:r>
          </w:p>
        </w:tc>
        <w:tc>
          <w:tcPr>
            <w:tcW w:type="dxa" w:w="1728"/>
          </w:tcPr>
          <w:p>
            <w:r>
              <w:rPr>
                <w:rFonts w:ascii="Calibri" w:hAnsi="Calibri"/>
                <w:b/>
                <w:color w:val="002FA7"/>
                <w:sz w:val="22"/>
              </w:rPr>
              <w:t>Mixed</w:t>
            </w:r>
          </w:p>
        </w:tc>
      </w:tr>
      <w:tr>
        <w:tc>
          <w:tcPr>
            <w:tcW w:type="dxa" w:w="1728"/>
          </w:tcPr>
          <w:p>
            <w:r>
              <w:rPr>
                <w:rFonts w:ascii="Calibri" w:hAnsi="Calibri"/>
                <w:sz w:val="22"/>
              </w:rPr>
              <w:t>XYL</w:t>
            </w:r>
          </w:p>
        </w:tc>
        <w:tc>
          <w:tcPr>
            <w:tcW w:type="dxa" w:w="1728"/>
          </w:tcPr>
          <w:p>
            <w:r>
              <w:rPr>
                <w:rFonts w:ascii="Calibri" w:hAnsi="Calibri"/>
                <w:sz w:val="22"/>
              </w:rPr>
              <w:t>Jul 28, 2026</w:t>
            </w:r>
          </w:p>
        </w:tc>
        <w:tc>
          <w:tcPr>
            <w:tcW w:type="dxa" w:w="1728"/>
          </w:tcPr>
          <w:p>
            <w:r>
              <w:rPr>
                <w:rFonts w:ascii="Calibri" w:hAnsi="Calibri"/>
                <w:sz w:val="22"/>
              </w:rPr>
              <w:t>Orders +41% organic; EPS upside; organic sales guide tweaked lower</w:t>
            </w:r>
          </w:p>
        </w:tc>
        <w:tc>
          <w:tcPr>
            <w:tcW w:type="dxa" w:w="1728"/>
          </w:tcPr>
          <w:p>
            <w:r>
              <w:rPr>
                <w:rFonts w:ascii="Calibri" w:hAnsi="Calibri"/>
                <w:sz w:val="22"/>
              </w:rPr>
              <w:t>Orders momentum broadly positive; slight caution on revenue conversion timing</w:t>
            </w:r>
          </w:p>
        </w:tc>
        <w:tc>
          <w:tcPr>
            <w:tcW w:type="dxa" w:w="1728"/>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The peer commentary from the current reporting quarter (calendar Q2 2026, ending June 30, 2026) is overwhelmingly positive for JCI's Q3 FY2026 print. Carrier's 4x data center orders growth is the single most important data point, directly validating JCI's core demand thesis. Honeywell's building automation strength and Middle East normalization address two of the key concerns from JCI's Q2 print. The primary risk flagged by peers is European/Germany macro weakness, which could weigh on JCI's EMEA segment. Sources: CARR Q2 2026 Earnings Call transcript (July 28, 2026); HON Q2 2026 Earnings Call transcript (July 23, 2026); ALLE Q2 2026 Earnings Call transcript (July 23, 2026); XYL Q2 2026 Earnings Release (July 28, 2026).</w:t>
      </w:r>
    </w:p>
    <w:p>
      <w:r>
        <w:br w:type="page"/>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