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KKR before writing the preview. Let me gather recent earnings materials, filings, and news.I have the key documents. Let me read the most recent earnings materials (2026Q1) and the year-ago quarter (2025Q2) for context, plus recent news.I have rich detail from the Q1 2026 report and call. Let me pull recent stock performance and any additional Q2-relevant context.I now have what I need. Here's the preview.</w:t>
      </w:r>
    </w:p>
    <w:p>
      <w:r>
        <w:pict>
          <v:rect style="width:0;height:1.5pt" o:hralign="center" o:hrstd="t" o:hr="t"/>
        </w:pict>
      </w:r>
    </w:p>
    <w:bookmarkStart w:id="20" w:name="X4863d166208bbea8e61b7b310729ffa888cfcc3"/>
    <w:p>
      <w:pPr>
        <w:pStyle w:val="Heading1"/>
      </w:pPr>
      <w:r>
        <w:t xml:space="preserve">KKR &amp; Co. (NYSE: KKR) — Q2 2026 Earnings Preview</w:t>
      </w:r>
    </w:p>
    <w:bookmarkStart w:id="9" w:name="Xaf8e9e240542d3166c234eee22a7241d7dfad8a"/>
    <w:p>
      <w:pPr>
        <w:pStyle w:val="Heading3"/>
      </w:pPr>
      <w:r>
        <w:t xml:space="preserve">Reports Thursday, July 30, 2026 (before the U.S. open) | 2026Q2 Earnings Call</w:t>
      </w:r>
    </w:p>
    <w:bookmarkEnd w:id="9"/>
    <w:bookmarkStart w:id="10" w:name="the-one-sentence-setup"/>
    <w:p>
      <w:pPr>
        <w:pStyle w:val="Heading2"/>
      </w:pPr>
      <w:r>
        <w:t xml:space="preserve">The one-sentence setup</w:t>
      </w:r>
    </w:p>
    <w:p>
      <w:pPr>
        <w:pStyle w:val="FirstParagraph"/>
      </w:pPr>
      <w:r>
        <w:t xml:space="preserve">KKR heads into this print with its operating fundamentals still compounding at ~20% but its</w:t>
      </w:r>
      <w:r>
        <w:t xml:space="preserve"> </w:t>
      </w:r>
      <w:r>
        <w:rPr>
          <w:b/>
          <w:bCs/>
        </w:rPr>
        <w:t xml:space="preserve">stock cut roughly in half from its 2025 highs</w:t>
      </w:r>
      <w:r>
        <w:t xml:space="preserve"> </w:t>
      </w:r>
      <w:r>
        <w:t xml:space="preserve">— so the report is less about the headline beat/miss and more about whether management can restore confidence in the monetization outlook it walked back last quarter, and calm the market's fears around insurance competition and private credit.</w:t>
      </w:r>
    </w:p>
    <w:p>
      <w:r>
        <w:pict>
          <v:rect style="width:0;height:1.5pt" o:hralign="center" o:hrstd="t" o:hr="t"/>
        </w:pict>
      </w:r>
    </w:p>
    <w:bookmarkEnd w:id="10"/>
    <w:bookmarkStart w:id="11" w:name="Xa5ed6f6ed133748af5a8aa61111f200d16d983c"/>
    <w:p>
      <w:pPr>
        <w:pStyle w:val="Heading2"/>
      </w:pPr>
      <w:r>
        <w:t xml:space="preserve">1. Why this quarter matters: a violent perception-vs.-fundamentals gap</w:t>
      </w:r>
    </w:p>
    <w:p>
      <w:pPr>
        <w:pStyle w:val="FirstParagraph"/>
      </w:pPr>
      <w:r>
        <w:t xml:space="preserve">The single most important piece of context is the stock. KKR traded as high as ~</w:t>
      </w:r>
      <m:oMath>
        <m:r>
          <m:t>152</m:t>
        </m:r>
        <m:r>
          <m:t>i</m:t>
        </m:r>
        <m:r>
          <m:t>n</m:t>
        </m:r>
        <m:r>
          <m:t>l</m:t>
        </m:r>
        <m:r>
          <m:t>a</m:t>
        </m:r>
        <m:r>
          <m:t>t</m:t>
        </m:r>
        <m:r>
          <m:t>e</m:t>
        </m:r>
        <m:r>
          <m:t>J</m:t>
        </m:r>
        <m:r>
          <m:t>u</m:t>
        </m:r>
        <m:r>
          <m:t>l</m:t>
        </m:r>
        <m:r>
          <m:t>y</m:t>
        </m:r>
        <m:r>
          <m:t>2025</m:t>
        </m:r>
        <m:r>
          <m:t>a</m:t>
        </m:r>
        <m:r>
          <m:t>n</m:t>
        </m:r>
        <m:r>
          <m:t>d</m:t>
        </m:r>
        <m:r>
          <m:t>b</m:t>
        </m:r>
        <m:r>
          <m:t>o</m:t>
        </m:r>
        <m:r>
          <m:t>t</m:t>
        </m:r>
        <m:r>
          <m:t>t</m:t>
        </m:r>
        <m:r>
          <m:t>o</m:t>
        </m:r>
        <m:r>
          <m:t>m</m:t>
        </m:r>
        <m:r>
          <m:t>e</m:t>
        </m:r>
        <m:r>
          <m:t>d</m:t>
        </m:r>
        <m:r>
          <m:t>n</m:t>
        </m:r>
        <m:r>
          <m:t>e</m:t>
        </m:r>
        <m:r>
          <m:t>a</m:t>
        </m:r>
        <m:r>
          <m:t>r</m:t>
        </m:r>
        <m:r>
          <m:rPr>
            <m:sty m:val="p"/>
          </m:rPr>
          <m:t>*</m:t>
        </m:r>
        <m:r>
          <m:rPr>
            <m:sty m:val="p"/>
          </m:rPr>
          <m:t>*</m:t>
        </m:r>
      </m:oMath>
      <w:r>
        <w:t xml:space="preserve">88 in late February 2026** before clawing back to ~$101 into this print — leaving it</w:t>
      </w:r>
      <w:r>
        <w:t xml:space="preserve"> </w:t>
      </w:r>
      <w:r>
        <w:rPr>
          <w:b/>
          <w:bCs/>
        </w:rPr>
        <w:t xml:space="preserve">down ~33% year-over-year</w:t>
      </w:r>
      <w:r>
        <w:t xml:space="preserve">. That drawdown badly lagged peers over the same window (Blackstone ~-26%, Apollo ~-18%).</w:t>
      </w:r>
    </w:p>
    <w:p>
      <w:pPr>
        <w:pStyle w:val="BodyText"/>
      </w:pPr>
      <w:r>
        <w:t xml:space="preserve">Yet the fundamentals told a very different story. In Q1 2026 (reported May 5), KKR posted:</w:t>
      </w:r>
    </w:p>
    <w:p>
      <w:pPr>
        <w:pStyle w:val="Compact"/>
        <w:numPr>
          <w:ilvl w:val="0"/>
          <w:numId w:val="1001"/>
        </w:numPr>
      </w:pPr>
      <w:r>
        <w:rPr>
          <w:b/>
          <w:bCs/>
        </w:rPr>
        <w:t xml:space="preserve">FRE of $1.13/share, +23% y/y</w:t>
      </w:r>
      <w:r>
        <w:t xml:space="preserve"> </w:t>
      </w:r>
      <w:r>
        <w:t xml:space="preserve">(FRE margin ~69%)</w:t>
      </w:r>
    </w:p>
    <w:p>
      <w:pPr>
        <w:pStyle w:val="Compact"/>
        <w:numPr>
          <w:ilvl w:val="0"/>
          <w:numId w:val="1001"/>
        </w:numPr>
      </w:pPr>
      <w:r>
        <w:rPr>
          <w:b/>
          <w:bCs/>
        </w:rPr>
        <w:t xml:space="preserve">Total Operating Earnings of $1.47/share, +18–19% y/y</w:t>
      </w:r>
    </w:p>
    <w:p>
      <w:pPr>
        <w:pStyle w:val="Compact"/>
        <w:numPr>
          <w:ilvl w:val="0"/>
          <w:numId w:val="1001"/>
        </w:numPr>
      </w:pPr>
      <w:r>
        <w:rPr>
          <w:b/>
          <w:bCs/>
        </w:rPr>
        <w:t xml:space="preserve">Adjusted Net Income of $1.39/share, +20–21% y/y</w:t>
      </w:r>
    </w:p>
    <w:p>
      <w:pPr>
        <w:pStyle w:val="Compact"/>
        <w:numPr>
          <w:ilvl w:val="0"/>
          <w:numId w:val="1001"/>
        </w:numPr>
      </w:pPr>
      <w:r>
        <w:rPr>
          <w:b/>
          <w:bCs/>
        </w:rPr>
        <w:t xml:space="preserve">AUM of $758B (+14% y/y)</w:t>
      </w:r>
      <w:r>
        <w:t xml:space="preserve">, FPAUM $615B (+17%), perpetual capital $326B (43% of AUM)</w:t>
      </w:r>
    </w:p>
    <w:p>
      <w:pPr>
        <w:pStyle w:val="FirstParagraph"/>
      </w:pPr>
      <w:r>
        <w:t xml:space="preserve">Management leaned hard into this disconnect — literally overlaying the stock chart on multi-year FRE/TOE/ANI charts on the Q1 call — and both co-CEOs and multiple directors bought stock personally. That framing ("don't trust the headlines") is the backdrop; this quarter is the test of whether the numbers keep validating it.</w:t>
      </w:r>
    </w:p>
    <w:p>
      <w:pPr>
        <w:pStyle w:val="BodyText"/>
      </w:pPr>
      <w:r>
        <w:rPr>
          <w:b/>
          <w:bCs/>
        </w:rPr>
        <w:t xml:space="preserve">What the Street expects Thursday:</w:t>
      </w:r>
      <w:r>
        <w:t xml:space="preserve"> </w:t>
      </w:r>
      <w:r>
        <w:t xml:space="preserve">total AUM growth of ~15% to ~</w:t>
      </w:r>
      <w:r>
        <w:rPr>
          <w:b/>
          <w:bCs/>
        </w:rPr>
        <w:t xml:space="preserve">$788B</w:t>
      </w:r>
      <w:r>
        <w:t xml:space="preserve"> </w:t>
      </w:r>
      <w:r>
        <w:t xml:space="preserve">and</w:t>
      </w:r>
      <w:r>
        <w:t xml:space="preserve"> </w:t>
      </w:r>
      <w:r>
        <w:rPr>
          <w:b/>
          <w:bCs/>
        </w:rPr>
        <w:t xml:space="preserve">EPS around $1.43</w:t>
      </w:r>
      <w:r>
        <w:t xml:space="preserve"> </w:t>
      </w:r>
      <w:r>
        <w:t xml:space="preserve">for the quarter, per pre-print sentiment. Broad Street view is constructive long-term but nervous near-term on (a) monetizations and (b) insurance competition.</w:t>
      </w:r>
    </w:p>
    <w:p>
      <w:r>
        <w:pict>
          <v:rect style="width:0;height:1.5pt" o:hralign="center" o:hrstd="t" o:hr="t"/>
        </w:pict>
      </w:r>
    </w:p>
    <w:bookmarkEnd w:id="11"/>
    <w:bookmarkStart w:id="12" w:name="Xbd64deefa8cc67f76a9f47b4dc23d2319e7a7ff"/>
    <w:p>
      <w:pPr>
        <w:pStyle w:val="Heading2"/>
      </w:pPr>
      <w:r>
        <w:t xml:space="preserve">2. The headline debate: the "$7 ANI" walk-back and monetization visibility</w:t>
      </w:r>
    </w:p>
    <w:p>
      <w:pPr>
        <w:pStyle w:val="FirstParagraph"/>
      </w:pPr>
      <w:r>
        <w:t xml:space="preserve">This is the crux. Entering 2026, KKR guided to</w:t>
      </w:r>
      <w:r>
        <w:t xml:space="preserve"> </w:t>
      </w:r>
      <w:r>
        <w:rPr>
          <w:b/>
          <w:bCs/>
        </w:rPr>
        <w:t xml:space="preserve">"$7+ ANI/share," implying ~45% y/y growth</w:t>
      </w:r>
      <w:r>
        <w:t xml:space="preserve">, assuming a "constructive and normalized" monetization environment. On the Q1 call, CFO Rob Lewin explicitly walked that back: given a "more challenging" first four months, if you're handicapping it,</w:t>
      </w:r>
      <w:r>
        <w:t xml:space="preserve"> </w:t>
      </w:r>
      <w:r>
        <w:rPr>
          <w:b/>
          <w:bCs/>
        </w:rPr>
        <w:t xml:space="preserve">"more likely… below $7."</w:t>
      </w:r>
    </w:p>
    <w:p>
      <w:pPr>
        <w:pStyle w:val="BodyText"/>
      </w:pPr>
      <w:r>
        <w:t xml:space="preserve">Nuances to hold in mind when you read the release and listen to the call:</w:t>
      </w:r>
    </w:p>
    <w:p>
      <w:pPr>
        <w:pStyle w:val="Compact"/>
        <w:numPr>
          <w:ilvl w:val="0"/>
          <w:numId w:val="1002"/>
        </w:numPr>
      </w:pPr>
      <w:r>
        <w:t xml:space="preserve">Management framed this as</w:t>
      </w:r>
      <w:r>
        <w:t xml:space="preserve"> </w:t>
      </w:r>
      <w:r>
        <w:rPr>
          <w:b/>
          <w:bCs/>
        </w:rPr>
        <w:t xml:space="preserve">timing, not magnitude</w:t>
      </w:r>
      <w:r>
        <w:t xml:space="preserve"> </w:t>
      </w:r>
      <w:r>
        <w:t xml:space="preserve">— delayed monetizations shift to 2027+, not lost. Scott Nuttall's point: they don't want to sell great assets into an uncertain (war/energy) backdrop.</w:t>
      </w:r>
    </w:p>
    <w:p>
      <w:pPr>
        <w:pStyle w:val="Compact"/>
        <w:numPr>
          <w:ilvl w:val="0"/>
          <w:numId w:val="1002"/>
        </w:numPr>
      </w:pPr>
      <w:r>
        <w:t xml:space="preserve">The offsetting bull signal: Q1 gross monetization revenue was</w:t>
      </w:r>
      <w:r>
        <w:t xml:space="preserve"> </w:t>
      </w:r>
      <w:r>
        <w:rPr>
          <w:b/>
          <w:bCs/>
        </w:rPr>
        <w:t xml:space="preserve">up &gt;50% y/y (~$880M)</w:t>
      </w:r>
      <w:r>
        <w:t xml:space="preserve">, realized carry</w:t>
      </w:r>
      <w:r>
        <w:t xml:space="preserve"> </w:t>
      </w:r>
      <w:r>
        <w:rPr>
          <w:b/>
          <w:bCs/>
        </w:rPr>
        <w:t xml:space="preserve">+120% y/y</w:t>
      </w:r>
      <w:r>
        <w:t xml:space="preserve">, and the</w:t>
      </w:r>
      <w:r>
        <w:t xml:space="preserve"> </w:t>
      </w:r>
      <w:r>
        <w:rPr>
          <w:b/>
          <w:bCs/>
        </w:rPr>
        <w:t xml:space="preserve">forward monetization pipeline of $1.2B+ was the highest they'd ever disclosed on a call.</w:t>
      </w:r>
    </w:p>
    <w:p>
      <w:pPr>
        <w:pStyle w:val="FirstParagraph"/>
      </w:pPr>
      <w:r>
        <w:rPr>
          <w:b/>
          <w:bCs/>
        </w:rPr>
        <w:t xml:space="preserve">What to watch Thursday:</w:t>
      </w:r>
    </w:p>
    <w:p>
      <w:pPr>
        <w:pStyle w:val="Compact"/>
        <w:numPr>
          <w:ilvl w:val="0"/>
          <w:numId w:val="1003"/>
        </w:numPr>
      </w:pPr>
      <w:r>
        <w:t xml:space="preserve">Realized performance income and realized investment income (the swing factors for ANI).</w:t>
      </w:r>
    </w:p>
    <w:p>
      <w:pPr>
        <w:pStyle w:val="Compact"/>
        <w:numPr>
          <w:ilvl w:val="0"/>
          <w:numId w:val="1003"/>
        </w:numPr>
      </w:pPr>
      <w:r>
        <w:t xml:space="preserve">Any refreshed language on the full-year ANI trajectory — does "below $7" firm up to a range, and does the forward monetization figure grow again?</w:t>
      </w:r>
    </w:p>
    <w:p>
      <w:pPr>
        <w:pStyle w:val="Compact"/>
        <w:numPr>
          <w:ilvl w:val="0"/>
          <w:numId w:val="1003"/>
        </w:numPr>
      </w:pPr>
      <w:r>
        <w:t xml:space="preserve">Embedded gains ($18.3B firm-wide, gross unrealized carry $10.2B at 3/31) — a rising number reinforces the "value is there, it's just timing" thesis.</w:t>
      </w:r>
    </w:p>
    <w:p>
      <w:pPr>
        <w:pStyle w:val="Compact"/>
        <w:numPr>
          <w:ilvl w:val="0"/>
          <w:numId w:val="1003"/>
        </w:numPr>
      </w:pPr>
      <w:r>
        <w:t xml:space="preserve">Realizations already flagged/announced (OneStream at 4.5x, CoolIT ~15x, Hyundai Marine Solutions ~7x, plus two 2021-vintage exits) — watch how much lands in Q2.</w:t>
      </w:r>
    </w:p>
    <w:p>
      <w:r>
        <w:pict>
          <v:rect style="width:0;height:1.5pt" o:hralign="center" o:hrstd="t" o:hr="t"/>
        </w:pict>
      </w:r>
    </w:p>
    <w:bookmarkEnd w:id="12"/>
    <w:bookmarkStart w:id="13" w:name="X56634168d4a72fe965d532effbf178d22a4ef8b"/>
    <w:p>
      <w:pPr>
        <w:pStyle w:val="Heading2"/>
      </w:pPr>
      <w:r>
        <w:t xml:space="preserve">3. FRE &amp; fundraising: the part that's actually working</w:t>
      </w:r>
    </w:p>
    <w:p>
      <w:pPr>
        <w:pStyle w:val="FirstParagraph"/>
      </w:pPr>
      <w:r>
        <w:t xml:space="preserve">FRE is the highest-quality, most-valued earnings stream, and it has been the reliable engine. Watch:</w:t>
      </w:r>
    </w:p>
    <w:p>
      <w:pPr>
        <w:pStyle w:val="Compact"/>
        <w:numPr>
          <w:ilvl w:val="0"/>
          <w:numId w:val="1004"/>
        </w:numPr>
      </w:pPr>
      <w:r>
        <w:rPr>
          <w:b/>
          <w:bCs/>
        </w:rPr>
        <w:t xml:space="preserve">Management fees</w:t>
      </w:r>
      <w:r>
        <w:t xml:space="preserve"> </w:t>
      </w:r>
      <w:r>
        <w:t xml:space="preserve">(were $1.2B in Q1, +30% y/y, or +20%+ ex-catch-up) and whether the ~69% FRE margin holds.</w:t>
      </w:r>
    </w:p>
    <w:p>
      <w:pPr>
        <w:pStyle w:val="Compact"/>
        <w:numPr>
          <w:ilvl w:val="0"/>
          <w:numId w:val="1004"/>
        </w:numPr>
      </w:pPr>
      <w:r>
        <w:rPr>
          <w:b/>
          <w:bCs/>
        </w:rPr>
        <w:t xml:space="preserve">Fundraising cadence.</w:t>
      </w:r>
      <w:r>
        <w:t xml:space="preserve"> </w:t>
      </w:r>
      <w:r>
        <w:t xml:space="preserve">KKR raised $28B in Q1 and $127B LTM, notably diversified (PE/real assets/credit each ~1/3 of fees). Management flagged it</w:t>
      </w:r>
      <w:r>
        <w:t xml:space="preserve"> </w:t>
      </w:r>
      <w:r>
        <w:rPr>
          <w:b/>
          <w:bCs/>
        </w:rPr>
        <w:t xml:space="preserve">expects a Q2 slowdown</w:t>
      </w:r>
      <w:r>
        <w:t xml:space="preserve">, echoing the post-tariff pattern of a year ago — so a soft fundraising number may be pre-signaled, not a negative surprise.</w:t>
      </w:r>
    </w:p>
    <w:p>
      <w:pPr>
        <w:pStyle w:val="Compact"/>
        <w:numPr>
          <w:ilvl w:val="0"/>
          <w:numId w:val="1004"/>
        </w:numPr>
      </w:pPr>
      <w:r>
        <w:rPr>
          <w:b/>
          <w:bCs/>
        </w:rPr>
        <w:t xml:space="preserve">K-Series (wealth)</w:t>
      </w:r>
      <w:r>
        <w:t xml:space="preserve">:</w:t>
      </w:r>
      <w:r>
        <w:t xml:space="preserve"> </w:t>
      </w:r>
      <m:oMath>
        <m:r>
          <m:t>38</m:t>
        </m:r>
        <m:r>
          <m:t>B</m:t>
        </m:r>
        <m:r>
          <m:t>A</m:t>
        </m:r>
        <m:r>
          <m:t>U</m:t>
        </m:r>
        <m:r>
          <m:t>M</m:t>
        </m:r>
        <m:r>
          <m:t>a</m:t>
        </m:r>
        <m:r>
          <m:t>t</m:t>
        </m:r>
        <m:r>
          <m:t>3</m:t>
        </m:r>
        <m:r>
          <m:rPr>
            <m:sty m:val="p"/>
          </m:rPr>
          <m:t>/</m:t>
        </m:r>
        <m:r>
          <m:t>31</m:t>
        </m:r>
        <m:r>
          <m:rPr>
            <m:sty m:val="p"/>
          </m:rPr>
          <m:t>(</m:t>
        </m:r>
        <m:r>
          <m:rPr>
            <m:sty m:val="p"/>
          </m:rPr>
          <m:t>+</m:t>
        </m:r>
        <m:r>
          <m:t>80</m:t>
        </m:r>
      </m:oMath>
      <w:r>
        <w:t xml:space="preserve">250M of redemptions. Given the sector-wide noise around wealth/private-credit redemptions, this is a sentiment lightning rod — watch the redemption figure closely.</w:t>
      </w:r>
    </w:p>
    <w:p>
      <w:pPr>
        <w:pStyle w:val="Compact"/>
        <w:numPr>
          <w:ilvl w:val="0"/>
          <w:numId w:val="1004"/>
        </w:numPr>
      </w:pPr>
      <w:r>
        <w:rPr>
          <w:b/>
          <w:bCs/>
        </w:rPr>
        <w:t xml:space="preserve">Fund launches in the pipeline</w:t>
      </w:r>
      <w:r>
        <w:t xml:space="preserve"> </w:t>
      </w:r>
      <w:r>
        <w:t xml:space="preserve">that feed future fees: Asia PE, Europe PE, tech/health-care growth, Global Infra, and the Capital Group partnership products.</w:t>
      </w:r>
    </w:p>
    <w:p>
      <w:r>
        <w:pict>
          <v:rect style="width:0;height:1.5pt" o:hralign="center" o:hrstd="t" o:hr="t"/>
        </w:pict>
      </w:r>
    </w:p>
    <w:bookmarkEnd w:id="13"/>
    <w:bookmarkStart w:id="14" w:name="X3dfbb62d5811dc2f713984e468402d2dcac9590"/>
    <w:p>
      <w:pPr>
        <w:pStyle w:val="Heading2"/>
      </w:pPr>
      <w:r>
        <w:t xml:space="preserve">4. Insurance (Global Atlantic): the margin question</w:t>
      </w:r>
    </w:p>
    <w:p>
      <w:pPr>
        <w:pStyle w:val="FirstParagraph"/>
      </w:pPr>
      <w:r>
        <w:t xml:space="preserve">The most cited near-term worry alongside monetizations. On the Q1 call, management acknowledged</w:t>
      </w:r>
      <w:r>
        <w:t xml:space="preserve"> </w:t>
      </w:r>
      <w:r>
        <w:rPr>
          <w:b/>
          <w:bCs/>
        </w:rPr>
        <w:t xml:space="preserve">elevated competition on the liability side and very tight asset spreads</w:t>
      </w:r>
      <w:r>
        <w:t xml:space="preserve">, which pressured ROEs and led KKR to pull back on retail origination. Insurance operating earnings were ~$260M (or slightly north of</w:t>
      </w:r>
      <w:r>
        <w:t xml:space="preserve"> </w:t>
      </w:r>
      <m:oMath>
        <m:r>
          <m:t>300</m:t>
        </m:r>
        <m:r>
          <m:t>M</m:t>
        </m:r>
        <m:r>
          <m:t>i</m:t>
        </m:r>
        <m:r>
          <m:t>n</m:t>
        </m:r>
        <m:r>
          <m:t>c</m:t>
        </m:r>
        <m:r>
          <m:t>l</m:t>
        </m:r>
        <m:r>
          <m:t>u</m:t>
        </m:r>
        <m:r>
          <m:t>d</m:t>
        </m:r>
        <m:r>
          <m:t>i</m:t>
        </m:r>
        <m:r>
          <m:t>n</m:t>
        </m:r>
        <m:r>
          <m:t>g</m:t>
        </m:r>
        <m:r>
          <m:t>m</m:t>
        </m:r>
        <m:r>
          <m:t>a</m:t>
        </m:r>
        <m:r>
          <m:t>r</m:t>
        </m:r>
        <m:r>
          <m:t>k</m:t>
        </m:r>
        <m:r>
          <m:t>s</m:t>
        </m:r>
        <m:r>
          <m:rPr>
            <m:sty m:val="p"/>
          </m:rPr>
          <m:t>;</m:t>
        </m:r>
        <m:r>
          <m:t>r</m:t>
        </m:r>
        <m:r>
          <m:t>u</m:t>
        </m:r>
        <m:r>
          <m:t>n</m:t>
        </m:r>
        <m:r>
          <m:rPr>
            <m:sty m:val="p"/>
          </m:rPr>
          <m:t>−</m:t>
        </m:r>
        <m:r>
          <m:t>r</m:t>
        </m:r>
        <m:r>
          <m:t>a</m:t>
        </m:r>
        <m:r>
          <m:t>t</m:t>
        </m:r>
        <m:r>
          <m:t>e</m:t>
        </m:r>
        <m:r>
          <m:t> </m:t>
        </m:r>
      </m:oMath>
      <w:r>
        <w:t xml:space="preserve">330M at target returns).</w:t>
      </w:r>
    </w:p>
    <w:p>
      <w:pPr>
        <w:pStyle w:val="BodyText"/>
      </w:pPr>
      <w:r>
        <w:rPr>
          <w:b/>
          <w:bCs/>
        </w:rPr>
        <w:t xml:space="preserve">What to watch:</w:t>
      </w:r>
    </w:p>
    <w:p>
      <w:pPr>
        <w:pStyle w:val="Compact"/>
        <w:numPr>
          <w:ilvl w:val="0"/>
          <w:numId w:val="1005"/>
        </w:numPr>
      </w:pPr>
      <w:r>
        <w:t xml:space="preserve">The trajectory of Insurance Operating Earnings and any commentary on spreads — management said late in Q1 that</w:t>
      </w:r>
      <w:r>
        <w:t xml:space="preserve"> </w:t>
      </w:r>
      <w:r>
        <w:rPr>
          <w:b/>
          <w:bCs/>
        </w:rPr>
        <w:t xml:space="preserve">wider spreads were creating a more attractive entry point</w:t>
      </w:r>
      <w:r>
        <w:t xml:space="preserve">, so Q2 could mark an inflection or continued pressure.</w:t>
      </w:r>
    </w:p>
    <w:p>
      <w:pPr>
        <w:pStyle w:val="Compact"/>
        <w:numPr>
          <w:ilvl w:val="0"/>
          <w:numId w:val="1005"/>
        </w:numPr>
      </w:pPr>
      <w:r>
        <w:t xml:space="preserve">The "total insurance economics" figure (was $1.9B LTM, +14%) on page 22 of the release — the fuller picture of GA's contribution.</w:t>
      </w:r>
    </w:p>
    <w:p>
      <w:pPr>
        <w:pStyle w:val="Compact"/>
        <w:numPr>
          <w:ilvl w:val="0"/>
          <w:numId w:val="1005"/>
        </w:numPr>
      </w:pPr>
      <w:r>
        <w:t xml:space="preserve">Reminder of the optionality:</w:t>
      </w:r>
      <w:r>
        <w:t xml:space="preserve"> </w:t>
      </w:r>
      <m:oMath>
        <m:r>
          <m:t>6</m:t>
        </m:r>
        <m:r>
          <m:t>B</m:t>
        </m:r>
        <m:r>
          <m:t>o</m:t>
        </m:r>
        <m:r>
          <m:t>f</m:t>
        </m:r>
        <m:r>
          <m:t>d</m:t>
        </m:r>
        <m:r>
          <m:t>r</m:t>
        </m:r>
        <m:r>
          <m:t>y</m:t>
        </m:r>
        <m:r>
          <m:rPr>
            <m:sty m:val="p"/>
          </m:rPr>
          <m:t>−</m:t>
        </m:r>
        <m:r>
          <m:t>p</m:t>
        </m:r>
        <m:r>
          <m:t>o</m:t>
        </m:r>
        <m:r>
          <m:t>w</m:t>
        </m:r>
        <m:r>
          <m:t>d</m:t>
        </m:r>
        <m:r>
          <m:t>e</m:t>
        </m:r>
        <m:r>
          <m:t>r</m:t>
        </m:r>
        <m:r>
          <m:t>e</m:t>
        </m:r>
        <m:r>
          <m:t>q</m:t>
        </m:r>
        <m:r>
          <m:t>u</m:t>
        </m:r>
        <m:r>
          <m:t>i</m:t>
        </m:r>
        <m:r>
          <m:t>t</m:t>
        </m:r>
        <m:r>
          <m:t>y</m:t>
        </m:r>
        <m:r>
          <m:rPr>
            <m:sty m:val="p"/>
          </m:rPr>
          <m:t>→</m:t>
        </m:r>
        <m:r>
          <m:t> </m:t>
        </m:r>
      </m:oMath>
      <w:r>
        <w:t xml:space="preserve">60B+ of liability buying power if volatility creates dislocation.</w:t>
      </w:r>
    </w:p>
    <w:p>
      <w:r>
        <w:pict>
          <v:rect style="width:0;height:1.5pt" o:hralign="center" o:hrstd="t" o:hr="t"/>
        </w:pict>
      </w:r>
    </w:p>
    <w:bookmarkEnd w:id="14"/>
    <w:bookmarkStart w:id="15" w:name="X37a57ba2f78d8cd47cdd87828d6928327b47c85"/>
    <w:p>
      <w:pPr>
        <w:pStyle w:val="Heading2"/>
      </w:pPr>
      <w:r>
        <w:t xml:space="preserve">5. Private credit / direct lending: sentiment overhang vs. reality</w:t>
      </w:r>
    </w:p>
    <w:p>
      <w:pPr>
        <w:pStyle w:val="FirstParagraph"/>
      </w:pPr>
      <w:r>
        <w:t xml:space="preserve">Broader market anxiety about private credit is a key reason the multiple compressed. KKR pre-empted this in Q1 by adding disclosure showing</w:t>
      </w:r>
      <w:r>
        <w:t xml:space="preserve"> </w:t>
      </w:r>
      <w:r>
        <w:rPr>
          <w:b/>
          <w:bCs/>
        </w:rPr>
        <w:t xml:space="preserve">direct lending is only ~5% of AUM (</w:t>
      </w:r>
      <m:oMath>
        <m:r>
          <m:t>39</m:t>
        </m:r>
        <m:r>
          <m:t>B</m:t>
        </m:r>
        <m:r>
          <m:rPr>
            <m:sty m:val="p"/>
          </m:rPr>
          <m:t>)</m:t>
        </m:r>
        <m:r>
          <m:rPr>
            <m:sty m:val="p"/>
          </m:rPr>
          <m:t>*</m:t>
        </m:r>
        <m:r>
          <m:rPr>
            <m:sty m:val="p"/>
          </m:rPr>
          <m:t>*</m:t>
        </m:r>
        <m:r>
          <m:t>a</m:t>
        </m:r>
        <m:r>
          <m:t>n</m:t>
        </m:r>
        <m:r>
          <m:t>d</m:t>
        </m:r>
        <m:r>
          <m:rPr>
            <m:sty m:val="p"/>
          </m:rPr>
          <m:t>*</m:t>
        </m:r>
        <m:r>
          <m:rPr>
            <m:sty m:val="p"/>
          </m:rPr>
          <m:t>*</m:t>
        </m:r>
        <m:r>
          <m:t>p</m:t>
        </m:r>
        <m:r>
          <m:t>r</m:t>
        </m:r>
        <m:r>
          <m:t>i</m:t>
        </m:r>
        <m:r>
          <m:t>v</m:t>
        </m:r>
        <m:r>
          <m:t>a</m:t>
        </m:r>
        <m:r>
          <m:t>t</m:t>
        </m:r>
        <m:r>
          <m:t>e</m:t>
        </m:r>
        <m:r>
          <m:t>B</m:t>
        </m:r>
        <m:r>
          <m:t>D</m:t>
        </m:r>
        <m:r>
          <m:t>C</m:t>
        </m:r>
        <m:r>
          <m:t>s</m:t>
        </m:r>
        <m:r>
          <m:rPr>
            <m:sty m:val="p"/>
          </m:rPr>
          <m:t>&lt;</m:t>
        </m:r>
        <m:r>
          <m:t>0.5</m:t>
        </m:r>
      </m:oMath>
      <w:r>
        <w:rPr>
          <w:b/>
          <w:bCs/>
        </w:rPr>
        <w:t xml:space="preserve">3B)</w:t>
      </w:r>
      <w:r>
        <w:t xml:space="preserve">, with consistent outperformance versus benchmarks across vintages. Notably, management said institutions were</w:t>
      </w:r>
      <w:r>
        <w:t xml:space="preserve"> </w:t>
      </w:r>
      <w:r>
        <w:rPr>
          <w:b/>
          <w:bCs/>
        </w:rPr>
        <w:t xml:space="preserve">coming back to direct lending</w:t>
      </w:r>
      <w:r>
        <w:t xml:space="preserve"> </w:t>
      </w:r>
      <w:r>
        <w:t xml:space="preserve">in recent weeks, viewing the dislocation as an attractive entry point, while ABF (&gt;$90B) remains the larger, higher-momentum engine.</w:t>
      </w:r>
    </w:p>
    <w:p>
      <w:pPr>
        <w:pStyle w:val="BodyText"/>
      </w:pPr>
      <w:r>
        <w:rPr>
          <w:b/>
          <w:bCs/>
        </w:rPr>
        <w:t xml:space="preserve">Watch:</w:t>
      </w:r>
      <w:r>
        <w:t xml:space="preserve"> </w:t>
      </w:r>
      <w:r>
        <w:t xml:space="preserve">any update on credit fundraising (Q1 was one of the largest non-GA credit quarters at $15B), redemption trends, and FSK/BDC commentary. Reassurance here could be a meaningful sentiment unlock.</w:t>
      </w:r>
    </w:p>
    <w:p>
      <w:r>
        <w:pict>
          <v:rect style="width:0;height:1.5pt" o:hralign="center" o:hrstd="t" o:hr="t"/>
        </w:pict>
      </w:r>
    </w:p>
    <w:bookmarkEnd w:id="15"/>
    <w:bookmarkStart w:id="16" w:name="Xbbfb3857e8f9bdce9dee85371228a7437d9c766"/>
    <w:p>
      <w:pPr>
        <w:pStyle w:val="Heading2"/>
      </w:pPr>
      <w:r>
        <w:t xml:space="preserve">6. Capital allocation: buybacks as a tell</w:t>
      </w:r>
    </w:p>
    <w:p>
      <w:pPr>
        <w:pStyle w:val="FirstParagraph"/>
      </w:pPr>
      <w:r>
        <w:t xml:space="preserve">With the stock near multi-year lows, KKR leaned into repurchases —</w:t>
      </w:r>
      <w:r>
        <w:t xml:space="preserve"> </w:t>
      </w:r>
      <m:oMath>
        <m:r>
          <m:t>317</m:t>
        </m:r>
        <m:r>
          <m:t>M</m:t>
        </m:r>
        <m:r>
          <m:t>a</m:t>
        </m:r>
        <m:r>
          <m:t>t</m:t>
        </m:r>
        <m:r>
          <m:t> </m:t>
        </m:r>
      </m:oMath>
      <w:r>
        <w:rPr>
          <w:b/>
          <w:bCs/>
        </w:rPr>
        <w:t xml:space="preserve">91/share through May 1</w:t>
      </w:r>
      <w:r>
        <w:t xml:space="preserve">, plus a</w:t>
      </w:r>
      <w:r>
        <w:t xml:space="preserve"> </w:t>
      </w:r>
      <w:r>
        <w:rPr>
          <w:b/>
          <w:bCs/>
        </w:rPr>
        <w:t xml:space="preserve">$500M authorization increase</w:t>
      </w:r>
      <w:r>
        <w:t xml:space="preserve"> </w:t>
      </w:r>
      <w:r>
        <w:t xml:space="preserve">and an auto-replenishing program structure. Given the stock spent Q2 largely in the</w:t>
      </w:r>
      <w:r>
        <w:t xml:space="preserve"> </w:t>
      </w:r>
      <m:oMath>
        <m:r>
          <m:t>90</m:t>
        </m:r>
        <m:r>
          <m:t>s</m:t>
        </m:r>
        <m:r>
          <m:rPr>
            <m:sty m:val="p"/>
          </m:rPr>
          <m:t>(</m:t>
        </m:r>
        <m:r>
          <m:t>d</m:t>
        </m:r>
        <m:r>
          <m:t>i</m:t>
        </m:r>
        <m:r>
          <m:t>p</m:t>
        </m:r>
        <m:r>
          <m:t>p</m:t>
        </m:r>
        <m:r>
          <m:t>i</m:t>
        </m:r>
        <m:r>
          <m:t>n</m:t>
        </m:r>
        <m:r>
          <m:t>g</m:t>
        </m:r>
        <m:r>
          <m:t>t</m:t>
        </m:r>
        <m:r>
          <m:t>o</m:t>
        </m:r>
        <m:r>
          <m:t> </m:t>
        </m:r>
      </m:oMath>
      <w:r>
        <w:t xml:space="preserve">89 in late June),</w:t>
      </w:r>
      <w:r>
        <w:t xml:space="preserve"> </w:t>
      </w:r>
      <w:r>
        <w:rPr>
          <w:b/>
          <w:bCs/>
        </w:rPr>
        <w:t xml:space="preserve">the size of Q2 buybacks will be a direct read on how cheap management thinks its own shares are.</w:t>
      </w:r>
      <w:r>
        <w:t xml:space="preserve"> </w:t>
      </w:r>
      <w:r>
        <w:t xml:space="preserve">The four capital-allocation levers to track: strategic M&amp;A, insurance, buybacks, and Strategic Holdings.</w:t>
      </w:r>
    </w:p>
    <w:p>
      <w:pPr>
        <w:pStyle w:val="BodyText"/>
      </w:pPr>
      <w:r>
        <w:t xml:space="preserve">Also monitor</w:t>
      </w:r>
      <w:r>
        <w:t xml:space="preserve"> </w:t>
      </w:r>
      <w:r>
        <w:rPr>
          <w:b/>
          <w:bCs/>
        </w:rPr>
        <w:t xml:space="preserve">Strategic Holdings</w:t>
      </w:r>
      <w:r>
        <w:t xml:space="preserve"> </w:t>
      </w:r>
      <w:r>
        <w:t xml:space="preserve">— reaffirmed at</w:t>
      </w:r>
      <w:r>
        <w:t xml:space="preserve"> </w:t>
      </w:r>
      <w:r>
        <w:rPr>
          <w:b/>
          <w:bCs/>
        </w:rPr>
        <w:t xml:space="preserve">$350M+ operating earnings for 2026</w:t>
      </w:r>
      <w:r>
        <w:t xml:space="preserve"> </w:t>
      </w:r>
      <w:r>
        <w:t xml:space="preserve">(back-end weighted), stepping to $700M+ by 2028 and $1.1B+ by 2030. Progress here supports the "durable, growing recurring earnings" narrative (85% of LTM segment earnings are recurring).</w:t>
      </w:r>
    </w:p>
    <w:p>
      <w:r>
        <w:pict>
          <v:rect style="width:0;height:1.5pt" o:hralign="center" o:hrstd="t" o:hr="t"/>
        </w:pict>
      </w:r>
    </w:p>
    <w:bookmarkEnd w:id="16"/>
    <w:bookmarkStart w:id="17" w:name="X513bac5d01d346ca8e44a748d49e8a453bfb03b"/>
    <w:p>
      <w:pPr>
        <w:pStyle w:val="Heading2"/>
      </w:pPr>
      <w:r>
        <w:t xml:space="preserve">7. Deployment catalysts in the quarter</w:t>
      </w:r>
    </w:p>
    <w:p>
      <w:pPr>
        <w:pStyle w:val="FirstParagraph"/>
      </w:pPr>
      <w:r>
        <w:t xml:space="preserve">Q2 was active on the deployment side, which supports future fees and carry but also uses capital:</w:t>
      </w:r>
    </w:p>
    <w:p>
      <w:pPr>
        <w:pStyle w:val="Compact"/>
        <w:numPr>
          <w:ilvl w:val="0"/>
          <w:numId w:val="1006"/>
        </w:numPr>
      </w:pPr>
      <w:r>
        <w:rPr>
          <w:b/>
          <w:bCs/>
        </w:rPr>
        <w:t xml:space="preserve">DCC Energy</w:t>
      </w:r>
      <w:r>
        <w:t xml:space="preserve">: KKR/Energy Capital Partners consortium won acceptance for an improved takeover valued up to ~£5.8B (~$7.85B), with a firm ~£5.75B deal agreed by July 27. Watch for confirmation and financing color; note some large DCC holders (Fidelity, Aviva, Ninety One) had argued the bid undervalued the company.</w:t>
      </w:r>
    </w:p>
    <w:p>
      <w:pPr>
        <w:pStyle w:val="Compact"/>
        <w:numPr>
          <w:ilvl w:val="0"/>
          <w:numId w:val="1006"/>
        </w:numPr>
      </w:pPr>
      <w:r>
        <w:rPr>
          <w:b/>
          <w:bCs/>
        </w:rPr>
        <w:t xml:space="preserve">SK Inc. renewables JV</w:t>
      </w:r>
      <w:r>
        <w:t xml:space="preserve">: a</w:t>
      </w:r>
      <w:r>
        <w:t xml:space="preserve"> </w:t>
      </w:r>
      <w:r>
        <w:rPr>
          <w:b/>
          <w:bCs/>
        </w:rPr>
        <w:t xml:space="preserve">$1.3B</w:t>
      </w:r>
      <w:r>
        <w:t xml:space="preserve"> </w:t>
      </w:r>
      <w:r>
        <w:t xml:space="preserve">clean-power platform targeting AI data-center/semiconductor demand — fits the digital-infrastructure/energy theme.</w:t>
      </w:r>
    </w:p>
    <w:p>
      <w:pPr>
        <w:pStyle w:val="Compact"/>
        <w:numPr>
          <w:ilvl w:val="0"/>
          <w:numId w:val="1006"/>
        </w:numPr>
      </w:pPr>
      <w:r>
        <w:rPr>
          <w:b/>
          <w:bCs/>
        </w:rPr>
        <w:t xml:space="preserve">Arctos</w:t>
      </w:r>
      <w:r>
        <w:t xml:space="preserve"> </w:t>
      </w:r>
      <w:r>
        <w:t xml:space="preserve">(~</w:t>
      </w:r>
      <w:r>
        <w:t xml:space="preserve">$16B AUM sports/GP-solutions franchise) closed May 5 — first quarter of contribution (embedded in PE line); watch for any commentary on the "$</w:t>
      </w:r>
      <w:r>
        <w:t xml:space="preserve">100B+ solutions business" ambition.</w:t>
      </w:r>
    </w:p>
    <w:p>
      <w:r>
        <w:pict>
          <v:rect style="width:0;height:1.5pt" o:hralign="center" o:hrstd="t" o:hr="t"/>
        </w:pict>
      </w:r>
    </w:p>
    <w:bookmarkEnd w:id="17"/>
    <w:bookmarkStart w:id="18" w:name="Xb086ff400a79f4d19e26a6c5b60f00951f65259"/>
    <w:p>
      <w:pPr>
        <w:pStyle w:val="Heading2"/>
      </w:pPr>
      <w:r>
        <w:t xml:space="preserve">8. AI exposure — an increasingly common question line</w:t>
      </w:r>
    </w:p>
    <w:p>
      <w:pPr>
        <w:pStyle w:val="FirstParagraph"/>
      </w:pPr>
      <w:r>
        <w:t xml:space="preserve">Analysts pressed on AI risk in Q1 (software ~7% of AUM; ~15% within PE) and on Strategic Holdings' business-services concentration. Expect more of the same. Management's stance: net beneficiary via digital-infrastructure deployment (&gt;$40B, 20%+ gross IRR) and portfolio value creation across 150+ companies. Any hard KPIs on AI-driven EBITDA uplift would be new and well-received.</w:t>
      </w:r>
    </w:p>
    <w:p>
      <w:r>
        <w:pict>
          <v:rect style="width:0;height:1.5pt" o:hralign="center" o:hrstd="t" o:hr="t"/>
        </w:pict>
      </w:r>
    </w:p>
    <w:bookmarkEnd w:id="18"/>
    <w:bookmarkStart w:id="19" w:name="bottom-line--what-would-move-the-stock"/>
    <w:p>
      <w:pPr>
        <w:pStyle w:val="Heading2"/>
      </w:pPr>
      <w:r>
        <w:t xml:space="preserve">Bottom line — what would move the stock</w:t>
      </w:r>
    </w:p>
    <w:p>
      <w:pPr>
        <w:pStyle w:val="FirstParagraph"/>
      </w:pPr>
      <w:r>
        <w:rPr>
          <w:b/>
          <w:bCs/>
        </w:rPr>
        <w:t xml:space="preserve">Bullish scenario:</w:t>
      </w:r>
      <w:r>
        <w:t xml:space="preserve"> </w:t>
      </w:r>
      <w:r>
        <w:t xml:space="preserve">FRE keeps compounding ~20%+, the forward monetization pipeline grows again (firming the case that "$7-ish" is deferred not destroyed), wealth redemptions stay negligible, and insurance spreads show signs of inflecting — all while buybacks stay aggressive. That combination directly attacks the perception-vs.-fundamentals gap management has been hammering.</w:t>
      </w:r>
    </w:p>
    <w:p>
      <w:pPr>
        <w:pStyle w:val="BodyText"/>
      </w:pPr>
      <w:r>
        <w:rPr>
          <w:b/>
          <w:bCs/>
        </w:rPr>
        <w:t xml:space="preserve">Bearish scenario:</w:t>
      </w:r>
      <w:r>
        <w:t xml:space="preserve"> </w:t>
      </w:r>
      <w:r>
        <w:t xml:space="preserve">softer monetizations with no pipeline offset, further ANI trimming, continued insurance ROE pressure, or any uptick in wealth/credit redemptions — which would validate the multiple compression and keep the stock range-bound.</w:t>
      </w:r>
    </w:p>
    <w:p>
      <w:pPr>
        <w:pStyle w:val="BodyText"/>
      </w:pPr>
      <w:r>
        <w:rPr>
          <w:b/>
          <w:bCs/>
        </w:rPr>
        <w:t xml:space="preserve">Net:</w:t>
      </w:r>
      <w:r>
        <w:t xml:space="preserve"> </w:t>
      </w:r>
      <w:r>
        <w:t xml:space="preserve">After a ~33% derating, expectations are modest and sentiment is defensive, so the bar to positively surprise is arguably low. The key tells will be the</w:t>
      </w:r>
      <w:r>
        <w:t xml:space="preserve"> </w:t>
      </w:r>
      <w:r>
        <w:rPr>
          <w:b/>
          <w:bCs/>
        </w:rPr>
        <w:t xml:space="preserve">forward monetization figure, any refresh of the full-year ANI framing, insurance spread commentary, and the pace of buybacks</w:t>
      </w:r>
      <w:r>
        <w:t xml:space="preserve"> </w:t>
      </w:r>
      <w:r>
        <w:t xml:space="preserve">— not the ~$1.43 headline EPS itself.</w:t>
      </w:r>
    </w:p>
    <w:p>
      <w:pPr>
        <w:pStyle w:val="BodyText"/>
      </w:pPr>
      <w:r>
        <w:rPr>
          <w:i/>
          <w:iCs/>
        </w:rPr>
        <w:t xml:space="preserve">Note: All company financials referenced are from KKR's Q1 2026 earnings release/call (reported May 5, 2026); Q2 Street expectations and deal items are from pre-print news through July 27, 2026; stock levels are from daily closing prices. Figures are as management reported them and are not independently verified for this preview.</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2026-07-29T18:28:41Z</dcterms:created>
  <dcterms:modified xsi:type="dcterms:W3CDTF">2026-07-29T18:28:41Z</dcterms:modified>
</cp:coreProperties>
</file>

<file path=docProps/custom.xml><?xml version="1.0" encoding="utf-8"?>
<Properties xmlns="http://schemas.openxmlformats.org/officeDocument/2006/custom-properties" xmlns:vt="http://schemas.openxmlformats.org/officeDocument/2006/docPropsVTypes"/>
</file>