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kr-earnings-predictions--2026-07-30"/>
    <w:p>
      <w:pPr>
        <w:pStyle w:val="Heading1"/>
      </w:pPr>
      <w:r>
        <w:t xml:space="preserve">KKR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AUM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~$784B vs. cons $788B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(ANI)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~$1.36 vs. cons $1.43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 Related Earnings (FRE)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~$1.19 vs. cons $1.15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ANI per share outlook (vs. original $7+ target)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~$6.55 vs. cons $6.80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Global Atlantic / insurance ROE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~11.3% vs. cons/target ~12% low-double-digit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LTM capital raised / fundraising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~$128B vs. cons $132B LTM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-2.8% (FADE)</w:t>
            </w:r>
          </w:p>
        </w:tc>
        <w:tc>
          <w:tcPr/>
          <w:p>
            <w:pPr>
              <w:pStyle w:val="Compact"/>
            </w:pPr>
            <w:r>
              <w:t xml:space="preserve">An ANI/EPS miss driven by slower monetization (Iran-conflict/oil-spike/Fed-hike volatility) reinforces the Q1 walk-back of the $7+ full-year ANI target, prompting sell-side to trim out-year realized performance income estimates even though FRE/fee-earnings growth beats; the stock had already run up ~13% off its June lows into the print on DCC/BX-driven optimism, leaving little cushion for a miss on the most-watched line item, so initial modest downside likely extends over the week as estimate revisions catch down to the more cautious tone on insurance ROE/spread competition and monetization timing.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2026-07-29T18:29:47Z</dcterms:created>
  <dcterms:modified xsi:type="dcterms:W3CDTF">2026-07-29T18:29:47Z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