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60ee7061747cdd9f930b683b862fdec03a3574"/>
    <w:p>
      <w:pPr>
        <w:pStyle w:val="Heading1"/>
      </w:pPr>
      <w:r>
        <w:t xml:space="preserve">KKR &amp; Co. Inc. (NYSE: KKR) —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10:00 a.m. ET</w:t>
      </w:r>
    </w:p>
    <w:p>
      <w:r>
        <w:pict>
          <v:rect style="width:0;height:1.5pt" o:hralign="center" o:hrstd="t" o:hr="t"/>
        </w:pict>
      </w:r>
    </w:p>
    <w:bookmarkStart w:id="9" w:name="quick-take"/>
    <w:p>
      <w:pPr>
        <w:pStyle w:val="Heading2"/>
      </w:pPr>
      <w:r>
        <w:t xml:space="preserve">Quick Take</w:t>
      </w:r>
    </w:p>
    <w:p>
      <w:pPr>
        <w:pStyle w:val="FirstParagraph"/>
      </w:pPr>
      <w:r>
        <w:t xml:space="preserve">KKR reports second-quarter 2026 results tomorrow morning against a backdrop of strong sector momentum (Blackstone just posted a big beat) but a genuinely more volatile macro tape than the firm anticipated when it built its 2026 plan. Street consensus is looking for</w:t>
      </w:r>
      <w:r>
        <w:t xml:space="preserve"> </w:t>
      </w:r>
      <w:r>
        <w:rPr>
          <w:b/>
          <w:bCs/>
        </w:rPr>
        <w:t xml:space="preserve">AUM of ~$788B (+15% YoY)</w:t>
      </w:r>
      <w:r>
        <w:t xml:space="preserve"> </w:t>
      </w:r>
      <w:r>
        <w:t xml:space="preserve">and</w:t>
      </w:r>
      <w:r>
        <w:t xml:space="preserve"> </w:t>
      </w:r>
      <w:r>
        <w:rPr>
          <w:b/>
          <w:bCs/>
        </w:rPr>
        <w:t xml:space="preserve">adjusted EPS of</w:t>
      </w:r>
      <w:r>
        <w:rPr>
          <w:b/>
          <w:bCs/>
        </w:rPr>
        <w:t xml:space="preserve"> </w:t>
      </w:r>
      <m:oMath>
        <m:r>
          <m:t>1.43</m:t>
        </m:r>
        <m:r>
          <m:rPr>
            <m:sty m:val="p"/>
          </m:rPr>
          <m:t>*</m:t>
        </m:r>
        <m:r>
          <m:rPr>
            <m:sty m:val="p"/>
          </m:rPr>
          <m:t>*</m:t>
        </m:r>
        <m:r>
          <m:rPr>
            <m:sty m:val="p"/>
          </m:rPr>
          <m:t>.</m:t>
        </m:r>
        <m:r>
          <m:t>T</m:t>
        </m:r>
        <m:r>
          <m:t>h</m:t>
        </m:r>
        <m:r>
          <m:t>e</m:t>
        </m:r>
        <m:r>
          <m:t>k</m:t>
        </m:r>
        <m:r>
          <m:t>e</m:t>
        </m:r>
        <m:r>
          <m:t>y</m:t>
        </m:r>
        <m:r>
          <m:t>s</m:t>
        </m:r>
        <m:r>
          <m:t>w</m:t>
        </m:r>
        <m:r>
          <m:t>i</m:t>
        </m:r>
        <m:r>
          <m:t>n</m:t>
        </m:r>
        <m:r>
          <m:t>g</m:t>
        </m:r>
        <m:r>
          <m:t>f</m:t>
        </m:r>
        <m:r>
          <m:t>a</m:t>
        </m:r>
        <m:r>
          <m:t>c</m:t>
        </m:r>
        <m:r>
          <m:t>t</m:t>
        </m:r>
        <m:r>
          <m:t>o</m:t>
        </m:r>
        <m:r>
          <m:t>r</m:t>
        </m:r>
        <m:r>
          <m:t>i</m:t>
        </m:r>
        <m:r>
          <m:t>s</m:t>
        </m:r>
        <m:r>
          <m:t>n</m:t>
        </m:r>
        <m:r>
          <m:t>o</m:t>
        </m:r>
        <m:r>
          <m:t>t</m:t>
        </m:r>
        <m:r>
          <m:t>r</m:t>
        </m:r>
        <m:r>
          <m:t>e</m:t>
        </m:r>
        <m:r>
          <m:t>a</m:t>
        </m:r>
        <m:r>
          <m:t>l</m:t>
        </m:r>
        <m:r>
          <m:t>l</m:t>
        </m:r>
        <m:r>
          <m:t>y</m:t>
        </m:r>
        <m:r>
          <m:t>t</m:t>
        </m:r>
        <m:r>
          <m:t>h</m:t>
        </m:r>
        <m:r>
          <m:t>e</m:t>
        </m:r>
        <m:r>
          <m:t>q</m:t>
        </m:r>
        <m:r>
          <m:t>u</m:t>
        </m:r>
        <m:r>
          <m:t>a</m:t>
        </m:r>
        <m:r>
          <m:t>r</m:t>
        </m:r>
        <m:r>
          <m:t>t</m:t>
        </m:r>
        <m:r>
          <m:t>e</m:t>
        </m:r>
        <m:r>
          <m:t>r</m:t>
        </m:r>
        <m:r>
          <m:t>i</m:t>
        </m:r>
        <m:r>
          <m:t>t</m:t>
        </m:r>
        <m:r>
          <m:t>s</m:t>
        </m:r>
        <m:r>
          <m:t>e</m:t>
        </m:r>
        <m:r>
          <m:t>l</m:t>
        </m:r>
        <m:r>
          <m:t>f</m:t>
        </m:r>
        <m:r>
          <m:rPr>
            <m:sty m:val="p"/>
          </m:rPr>
          <m:t>—</m:t>
        </m:r>
        <m:r>
          <m:t>i</m:t>
        </m:r>
        <m:sSup>
          <m:e>
            <m:r>
              <m:t>t</m:t>
            </m:r>
          </m:e>
          <m:sup>
            <m:r>
              <m:rPr>
                <m:sty m:val="p"/>
              </m:rPr>
              <m:t>′</m:t>
            </m:r>
          </m:sup>
        </m:sSup>
        <m:r>
          <m:t>s</m:t>
        </m:r>
        <m:r>
          <m:t>w</m:t>
        </m:r>
        <m:r>
          <m:t>h</m:t>
        </m:r>
        <m:r>
          <m:t>e</m:t>
        </m:r>
        <m:r>
          <m:t>t</m:t>
        </m:r>
        <m:r>
          <m:t>h</m:t>
        </m:r>
        <m:r>
          <m:t>e</m:t>
        </m:r>
        <m:r>
          <m:t>r</m:t>
        </m:r>
        <m:r>
          <m:t>m</m:t>
        </m:r>
        <m:r>
          <m:t>a</m:t>
        </m:r>
        <m:r>
          <m:t>n</m:t>
        </m:r>
        <m:r>
          <m:t>a</m:t>
        </m:r>
        <m:r>
          <m:t>g</m:t>
        </m:r>
        <m:r>
          <m:t>e</m:t>
        </m:r>
        <m:r>
          <m:t>m</m:t>
        </m:r>
        <m:r>
          <m:t>e</m:t>
        </m:r>
        <m:r>
          <m:t>n</m:t>
        </m:r>
        <m:sSup>
          <m:e>
            <m:r>
              <m:t>t</m:t>
            </m:r>
          </m:e>
          <m:sup>
            <m:r>
              <m:rPr>
                <m:sty m:val="p"/>
              </m:rPr>
              <m:t>′</m:t>
            </m:r>
          </m:sup>
        </m:sSup>
        <m:r>
          <m:t>s</m:t>
        </m:r>
        <m:r>
          <m:t>t</m:t>
        </m:r>
        <m:r>
          <m:t>o</m:t>
        </m:r>
        <m:r>
          <m:t>n</m:t>
        </m:r>
        <m:r>
          <m:t>e</m:t>
        </m:r>
        <m:r>
          <m:t>o</m:t>
        </m:r>
        <m:r>
          <m:t>n</m:t>
        </m:r>
        <m:r>
          <m:t>t</m:t>
        </m:r>
        <m:r>
          <m:t>h</m:t>
        </m:r>
        <m:r>
          <m:t>e</m:t>
        </m:r>
        <m:r>
          <m:t>f</m:t>
        </m:r>
        <m:r>
          <m:t>u</m:t>
        </m:r>
        <m:r>
          <m:t>l</m:t>
        </m:r>
        <m:r>
          <m:t>l</m:t>
        </m:r>
        <m:r>
          <m:rPr>
            <m:sty m:val="p"/>
          </m:rPr>
          <m:t>−</m:t>
        </m:r>
        <m:r>
          <m:t>y</m:t>
        </m:r>
        <m:r>
          <m:t>e</m:t>
        </m:r>
        <m:r>
          <m:t>a</m:t>
        </m:r>
        <m:r>
          <m:t>r</m:t>
        </m:r>
        <m:r>
          <m:rPr>
            <m:sty m:val="p"/>
          </m:rPr>
          <m:t>*</m:t>
        </m:r>
        <m:r>
          <m:rPr>
            <m:sty m:val="p"/>
          </m:rPr>
          <m:t>*</m:t>
        </m:r>
      </m:oMath>
      <w:r>
        <w:rPr>
          <w:b/>
          <w:bCs/>
        </w:rPr>
        <w:t xml:space="preserve">7+ ANI/share target</w:t>
      </w:r>
      <w:r>
        <w:t xml:space="preserve"> </w:t>
      </w:r>
      <w:r>
        <w:t xml:space="preserve">(which they already walked back in May) has stabilized or deteriorated further, and how the insurance segment's competitive/ROE dynamics and monetization pipeline are tracking through a quarter marked by an escalating Iran conflict, an oil price spike, and renewed Fed-hike chatter.</w:t>
      </w:r>
    </w:p>
    <w:p>
      <w:r>
        <w:pict>
          <v:rect style="width:0;height:1.5pt" o:hralign="center" o:hrstd="t" o:hr="t"/>
        </w:pict>
      </w:r>
    </w:p>
    <w:bookmarkEnd w:id="9"/>
    <w:bookmarkStart w:id="10" w:name="X5638132a46cefc737dc940ef798e4999b91a48b"/>
    <w:p>
      <w:pPr>
        <w:pStyle w:val="Heading2"/>
      </w:pPr>
      <w:r>
        <w:t xml:space="preserve">1. Setting the Stage: Where Things Stood After Q1</w:t>
      </w:r>
    </w:p>
    <w:p>
      <w:pPr>
        <w:pStyle w:val="FirstParagraph"/>
      </w:pPr>
      <w:r>
        <w:t xml:space="preserve">KKR's Q1 2026 print (reported May 5) was strong on headline growth but came with an important guidance caveat:</w:t>
      </w:r>
    </w:p>
    <w:p>
      <w:pPr>
        <w:pStyle w:val="Compact"/>
        <w:numPr>
          <w:ilvl w:val="0"/>
          <w:numId w:val="1001"/>
        </w:numPr>
      </w:pPr>
      <w:r>
        <w:rPr>
          <w:b/>
          <w:bCs/>
        </w:rPr>
        <w:t xml:space="preserve">FRE per share</w:t>
      </w:r>
      <w:r>
        <w:t xml:space="preserve"> </w:t>
      </w:r>
      <w:r>
        <w:t xml:space="preserve">of $1.13 (+24% YoY),</w:t>
      </w:r>
      <w:r>
        <w:t xml:space="preserve"> </w:t>
      </w:r>
      <w:r>
        <w:rPr>
          <w:b/>
          <w:bCs/>
        </w:rPr>
        <w:t xml:space="preserve">TOE per share</w:t>
      </w:r>
      <w:r>
        <w:t xml:space="preserve"> </w:t>
      </w:r>
      <w:r>
        <w:t xml:space="preserve">of $1.47 (+19% YoY), and</w:t>
      </w:r>
      <w:r>
        <w:t xml:space="preserve"> </w:t>
      </w:r>
      <w:r>
        <w:rPr>
          <w:b/>
          <w:bCs/>
        </w:rPr>
        <w:t xml:space="preserve">ANI per share</w:t>
      </w:r>
      <w:r>
        <w:t xml:space="preserve"> </w:t>
      </w:r>
      <w:r>
        <w:t xml:space="preserve">of $1.39 (+21% YoY) — management called these "among the highest we've reported in our firm's history."</w:t>
      </w:r>
    </w:p>
    <w:p>
      <w:pPr>
        <w:pStyle w:val="Compact"/>
        <w:numPr>
          <w:ilvl w:val="0"/>
          <w:numId w:val="1001"/>
        </w:numPr>
      </w:pPr>
      <w:r>
        <w:rPr>
          <w:b/>
          <w:bCs/>
        </w:rPr>
        <w:t xml:space="preserve">AUM</w:t>
      </w:r>
      <w:r>
        <w:t xml:space="preserve"> </w:t>
      </w:r>
      <w:r>
        <w:t xml:space="preserve">reached $758B (+14% YoY) and</w:t>
      </w:r>
      <w:r>
        <w:t xml:space="preserve"> </w:t>
      </w:r>
      <w:r>
        <w:rPr>
          <w:b/>
          <w:bCs/>
        </w:rPr>
        <w:t xml:space="preserve">FPAUM</w:t>
      </w:r>
      <w:r>
        <w:t xml:space="preserve"> </w:t>
      </w:r>
      <w:r>
        <w:t xml:space="preserve">hit $615B (+17% YoY), with</w:t>
      </w:r>
      <w:r>
        <w:t xml:space="preserve"> </w:t>
      </w:r>
      <m:oMath>
        <m:r>
          <m:t>28</m:t>
        </m:r>
        <m:r>
          <m:t>B</m:t>
        </m:r>
        <m:r>
          <m:t>o</m:t>
        </m:r>
        <m:r>
          <m:t>f</m:t>
        </m:r>
        <m:r>
          <m:t>n</m:t>
        </m:r>
        <m:r>
          <m:t>e</m:t>
        </m:r>
        <m:r>
          <m:t>w</m:t>
        </m:r>
        <m:r>
          <m:t>c</m:t>
        </m:r>
        <m:r>
          <m:t>a</m:t>
        </m:r>
        <m:r>
          <m:t>p</m:t>
        </m:r>
        <m:r>
          <m:t>i</m:t>
        </m:r>
        <m:r>
          <m:t>t</m:t>
        </m:r>
        <m:r>
          <m:t>a</m:t>
        </m:r>
        <m:r>
          <m:t>l</m:t>
        </m:r>
        <m:r>
          <m:t>r</m:t>
        </m:r>
        <m:r>
          <m:t>a</m:t>
        </m:r>
        <m:r>
          <m:t>i</m:t>
        </m:r>
        <m:r>
          <m:t>s</m:t>
        </m:r>
        <m:r>
          <m:t>e</m:t>
        </m:r>
        <m:r>
          <m:t>d</m:t>
        </m:r>
        <m:r>
          <m:t>i</m:t>
        </m:r>
        <m:r>
          <m:t>n</m:t>
        </m:r>
        <m:r>
          <m:t>t</m:t>
        </m:r>
        <m:r>
          <m:t>h</m:t>
        </m:r>
        <m:r>
          <m:t>e</m:t>
        </m:r>
        <m:r>
          <m:t>q</m:t>
        </m:r>
        <m:r>
          <m:t>u</m:t>
        </m:r>
        <m:r>
          <m:t>a</m:t>
        </m:r>
        <m:r>
          <m:t>r</m:t>
        </m:r>
        <m:r>
          <m:t>t</m:t>
        </m:r>
        <m:r>
          <m:t>e</m:t>
        </m:r>
        <m:r>
          <m:t>r</m:t>
        </m:r>
        <m:r>
          <m:rPr>
            <m:sty m:val="p"/>
          </m:rPr>
          <m:t>(</m:t>
        </m:r>
      </m:oMath>
      <w:r>
        <w:t xml:space="preserve">127B LTM).</w:t>
      </w:r>
    </w:p>
    <w:p>
      <w:pPr>
        <w:pStyle w:val="Compact"/>
        <w:numPr>
          <w:ilvl w:val="0"/>
          <w:numId w:val="1001"/>
        </w:numPr>
      </w:pPr>
      <w:r>
        <w:t xml:space="preserve">Fundraising was broad-based and, notably, credit had a standout quarter ($15B raised) driven by asset-based finance, even as headlines focused on private-credit/BDC redemption stress elsewhere in the industry.</w:t>
      </w:r>
    </w:p>
    <w:p>
      <w:pPr>
        <w:pStyle w:val="Compact"/>
        <w:numPr>
          <w:ilvl w:val="0"/>
          <w:numId w:val="1001"/>
        </w:numPr>
      </w:pPr>
      <w:r>
        <w:t xml:space="preserve">The firm closed its</w:t>
      </w:r>
      <w:r>
        <w:t xml:space="preserve"> </w:t>
      </w:r>
      <w:r>
        <w:rPr>
          <w:b/>
          <w:bCs/>
        </w:rPr>
        <w:t xml:space="preserve">acquisition of Arctos Partners</w:t>
      </w:r>
      <w:r>
        <w:t xml:space="preserve"> </w:t>
      </w:r>
      <w:r>
        <w:t xml:space="preserve">(~$16B AUM, sports/GP-solutions specialist) on May 5, and</w:t>
      </w:r>
      <w:r>
        <w:t xml:space="preserve"> </w:t>
      </w:r>
      <w:r>
        <w:rPr>
          <w:b/>
          <w:bCs/>
        </w:rPr>
        <w:t xml:space="preserve">raised its share buyback authorization by $500 million</w:t>
      </w:r>
      <w:r>
        <w:t xml:space="preserve">, having already repurchased</w:t>
      </w:r>
      <w:r>
        <w:t xml:space="preserve"> </w:t>
      </w:r>
      <m:oMath>
        <m:r>
          <m:t>317</m:t>
        </m:r>
        <m:r>
          <m:t>m</m:t>
        </m:r>
        <m:r>
          <m:t>i</m:t>
        </m:r>
        <m:r>
          <m:t>l</m:t>
        </m:r>
        <m:r>
          <m:t>l</m:t>
        </m:r>
        <m:r>
          <m:t>i</m:t>
        </m:r>
        <m:r>
          <m:t>o</m:t>
        </m:r>
        <m:r>
          <m:t>n</m:t>
        </m:r>
        <m:r>
          <m:t>o</m:t>
        </m:r>
        <m:r>
          <m:t>f</m:t>
        </m:r>
        <m:r>
          <m:t>s</m:t>
        </m:r>
        <m:r>
          <m:t>t</m:t>
        </m:r>
        <m:r>
          <m:t>o</m:t>
        </m:r>
        <m:r>
          <m:t>c</m:t>
        </m:r>
        <m:r>
          <m:t>k</m:t>
        </m:r>
        <m:r>
          <m:t>a</m:t>
        </m:r>
        <m:r>
          <m:t>t</m:t>
        </m:r>
        <m:r>
          <m:t> </m:t>
        </m:r>
      </m:oMath>
      <w:r>
        <w:t xml:space="preserve">91/share through May 1 — with co-CEOs and directors also buying stock personally, a signal management leaned on heavily to argue the stock was mispriced relative to fundamentals.</w:t>
      </w:r>
    </w:p>
    <w:p>
      <w:pPr>
        <w:pStyle w:val="FirstParagraph"/>
      </w:pPr>
      <w:r>
        <w:rPr>
          <w:b/>
          <w:bCs/>
        </w:rPr>
        <w:t xml:space="preserve">The critical guidance nuance:</w:t>
      </w:r>
      <w:r>
        <w:t xml:space="preserve"> </w:t>
      </w:r>
      <w:r>
        <w:t xml:space="preserve">Entering 2026, KKR had targeted</w:t>
      </w:r>
      <w:r>
        <w:t xml:space="preserve"> </w:t>
      </w:r>
      <w:r>
        <w:rPr>
          <w:b/>
          <w:bCs/>
        </w:rPr>
        <w:t xml:space="preserve">$7+ ANI/share</w:t>
      </w:r>
      <w:r>
        <w:t xml:space="preserve"> </w:t>
      </w:r>
      <w:r>
        <w:t xml:space="preserve">(~45% YoY growth) assuming a "constructive and more normalized monetization environment." On the Q1 call, CFO Rob Lewin explicitly walked this back, saying that four months into the year the environment had been "more challenging" than plan, and that</w:t>
      </w:r>
      <w:r>
        <w:t xml:space="preserve"> </w:t>
      </w:r>
      <w:r>
        <w:rPr>
          <w:b/>
          <w:bCs/>
        </w:rPr>
        <w:t xml:space="preserve">it was more likely KKR would land below $7/share</w:t>
      </w:r>
      <w:r>
        <w:t xml:space="preserve"> </w:t>
      </w:r>
      <w:r>
        <w:t xml:space="preserve">for the full year — while stressing that any delayed monetizations "would not be lost," just pushed into 2027+. Importantly, management pointed to a</w:t>
      </w:r>
      <w:r>
        <w:t xml:space="preserve"> </w:t>
      </w:r>
      <w:r>
        <w:rPr>
          <w:b/>
          <w:bCs/>
        </w:rPr>
        <w:t xml:space="preserve">record forward monetization pipeline of $1.2B+ of gross revenue</w:t>
      </w:r>
      <w:r>
        <w:t xml:space="preserve"> </w:t>
      </w:r>
      <w:r>
        <w:t xml:space="preserve">(signed deals + exits since quarter-end) as evidence the underlying portfolio value is intact — the issue is timing, not magnitude, driven by macro/geopolitical uncertainty making strategic buyers and sellers hesitant.</w:t>
      </w:r>
    </w:p>
    <w:p>
      <w:pPr>
        <w:pStyle w:val="BodyText"/>
      </w:pPr>
      <w:r>
        <w:t xml:space="preserve">Other Q1 themes investors will want updated:</w:t>
      </w:r>
    </w:p>
    <w:p>
      <w:pPr>
        <w:pStyle w:val="Compact"/>
        <w:numPr>
          <w:ilvl w:val="0"/>
          <w:numId w:val="1002"/>
        </w:numPr>
      </w:pPr>
      <w:r>
        <w:rPr>
          <w:b/>
          <w:bCs/>
        </w:rPr>
        <w:t xml:space="preserve">Insurance/Global Atlantic competition:</w:t>
      </w:r>
      <w:r>
        <w:t xml:space="preserve"> </w:t>
      </w:r>
      <w:r>
        <w:t xml:space="preserve">Management acknowledged intensifying competition on the retail annuity liability side plus historically tight asset spreads, which pressured origination and ROE (~11% pro forma ROE in Q1 vs. a low-double-digit target). They noted spreads had begun widening into Q2, which should be a watch item.</w:t>
      </w:r>
    </w:p>
    <w:p>
      <w:pPr>
        <w:pStyle w:val="Compact"/>
        <w:numPr>
          <w:ilvl w:val="0"/>
          <w:numId w:val="1002"/>
        </w:numPr>
      </w:pPr>
      <w:r>
        <w:rPr>
          <w:b/>
          <w:bCs/>
        </w:rPr>
        <w:t xml:space="preserve">Direct lending/wealth optics:</w:t>
      </w:r>
      <w:r>
        <w:t xml:space="preserve"> </w:t>
      </w:r>
      <w:r>
        <w:t xml:space="preserve">KKR went out of its way to show direct lending is only 5% of AUM and private BDCs &lt;0.5%, framing itself as insulated from wealth-channel redemption headlines, while noting institutional interest in direct lending was actually</w:t>
      </w:r>
      <w:r>
        <w:t xml:space="preserve"> </w:t>
      </w:r>
      <w:r>
        <w:rPr>
          <w:i/>
          <w:iCs/>
        </w:rPr>
        <w:t xml:space="preserve">reaccelerating</w:t>
      </w:r>
      <w:r>
        <w:t xml:space="preserve"> </w:t>
      </w:r>
      <w:r>
        <w:t xml:space="preserve">as spreads/terms improved.</w:t>
      </w:r>
    </w:p>
    <w:p>
      <w:pPr>
        <w:pStyle w:val="Compact"/>
        <w:numPr>
          <w:ilvl w:val="0"/>
          <w:numId w:val="1002"/>
        </w:numPr>
      </w:pPr>
      <w:r>
        <w:rPr>
          <w:b/>
          <w:bCs/>
        </w:rPr>
        <w:t xml:space="preserve">Strategic Holdings:</w:t>
      </w:r>
      <w:r>
        <w:t xml:space="preserve"> </w:t>
      </w:r>
      <w:r>
        <w:t xml:space="preserve">On track for the $350mm+ 2026 target (guided to be back-half weighted), with longer-term targets of $700mm+ by 2028 and $1.1B+ by 2030.</w:t>
      </w:r>
    </w:p>
    <w:p>
      <w:r>
        <w:pict>
          <v:rect style="width:0;height:1.5pt" o:hralign="center" o:hrstd="t" o:hr="t"/>
        </w:pict>
      </w:r>
    </w:p>
    <w:bookmarkEnd w:id="10"/>
    <w:bookmarkStart w:id="11" w:name="Xb84bb996f901ba076aa2b68b52b1a169822b832"/>
    <w:p>
      <w:pPr>
        <w:pStyle w:val="Heading2"/>
      </w:pPr>
      <w:r>
        <w:t xml:space="preserve">2. What's Happened Since Q1 (Q2 Datapoints to Watch)</w:t>
      </w:r>
    </w:p>
    <w:p>
      <w:pPr>
        <w:pStyle w:val="Compact"/>
        <w:numPr>
          <w:ilvl w:val="0"/>
          <w:numId w:val="1003"/>
        </w:numPr>
      </w:pPr>
      <w:r>
        <w:rPr>
          <w:b/>
          <w:bCs/>
        </w:rPr>
        <w:t xml:space="preserve">DCC Energy takeover:</w:t>
      </w:r>
      <w:r>
        <w:t xml:space="preserve"> </w:t>
      </w:r>
      <w:r>
        <w:t xml:space="preserve">KKR, alongside Energy Capital Partners, pursued a drawn-out bid for Ireland's DCC Energy, ultimately securing board backing for an improved</w:t>
      </w:r>
      <w:r>
        <w:t xml:space="preserve"> </w:t>
      </w:r>
      <w:r>
        <w:rPr>
          <w:b/>
          <w:bCs/>
        </w:rPr>
        <w:t xml:space="preserve">£5.75–5.80 billion (~$7.85B)</w:t>
      </w:r>
      <w:r>
        <w:t xml:space="preserve"> </w:t>
      </w:r>
      <w:r>
        <w:t xml:space="preserve">takeover proposal in mid-to-late July — a sizable infrastructure/energy transaction that should be a talking point on capital deployment and the energy transition thesis, even though it likely closes after Q2.</w:t>
      </w:r>
    </w:p>
    <w:p>
      <w:pPr>
        <w:pStyle w:val="Compact"/>
        <w:numPr>
          <w:ilvl w:val="0"/>
          <w:numId w:val="1003"/>
        </w:numPr>
      </w:pPr>
      <w:r>
        <w:rPr>
          <w:b/>
          <w:bCs/>
        </w:rPr>
        <w:t xml:space="preserve">Stock price action:</w:t>
      </w:r>
      <w:r>
        <w:t xml:space="preserve"> </w:t>
      </w:r>
      <w:r>
        <w:t xml:space="preserve">KKR shares were volatile through the quarter — sliding from the low-$100s in mid-April down to a June low near</w:t>
      </w:r>
      <w:r>
        <w:t xml:space="preserve"> </w:t>
      </w:r>
      <m:oMath>
        <m:r>
          <m:t>89</m:t>
        </m:r>
        <m:r>
          <m:rPr>
            <m:sty m:val="p"/>
          </m:rPr>
          <m:t>(</m:t>
        </m:r>
        <m:r>
          <m:t>r</m:t>
        </m:r>
        <m:r>
          <m:t>o</m:t>
        </m:r>
        <m:r>
          <m:t>u</m:t>
        </m:r>
        <m:r>
          <m:t>g</m:t>
        </m:r>
        <m:r>
          <m:t>h</m:t>
        </m:r>
        <m:r>
          <m:t>l</m:t>
        </m:r>
        <m:r>
          <m:t>y</m:t>
        </m:r>
        <m:r>
          <m:t>i</m:t>
        </m:r>
        <m:r>
          <m:t>n</m:t>
        </m:r>
        <m:r>
          <m:t>l</m:t>
        </m:r>
        <m:r>
          <m:t>i</m:t>
        </m:r>
        <m:r>
          <m:t>n</m:t>
        </m:r>
        <m:r>
          <m:t>e</m:t>
        </m:r>
        <m:r>
          <m:t>w</m:t>
        </m:r>
        <m:r>
          <m:t>i</m:t>
        </m:r>
        <m:r>
          <m:t>t</m:t>
        </m:r>
        <m:r>
          <m:t>h</m:t>
        </m:r>
        <m:r>
          <m:t>t</m:t>
        </m:r>
        <m:r>
          <m:t>h</m:t>
        </m:r>
        <m:r>
          <m:t>e</m:t>
        </m:r>
        <m:r>
          <m:t>b</m:t>
        </m:r>
        <m:r>
          <m:t>r</m:t>
        </m:r>
        <m:r>
          <m:t>o</m:t>
        </m:r>
        <m:r>
          <m:t>a</m:t>
        </m:r>
        <m:r>
          <m:t>d</m:t>
        </m:r>
        <m:r>
          <m:t>e</m:t>
        </m:r>
        <m:r>
          <m:t>r</m:t>
        </m:r>
        <m:r>
          <m:t>a</m:t>
        </m:r>
        <m:r>
          <m:t>l</m:t>
        </m:r>
        <m:r>
          <m:t>t</m:t>
        </m:r>
        <m:r>
          <m:rPr>
            <m:sty m:val="p"/>
          </m:rPr>
          <m:t>−</m:t>
        </m:r>
        <m:r>
          <m:t>m</m:t>
        </m:r>
        <m:r>
          <m:t>a</m:t>
        </m:r>
        <m:r>
          <m:t>n</m:t>
        </m:r>
        <m:r>
          <m:t>a</m:t>
        </m:r>
        <m:r>
          <m:t>g</m:t>
        </m:r>
        <m:r>
          <m:t>e</m:t>
        </m:r>
        <m:r>
          <m:t>r</m:t>
        </m:r>
        <m:r>
          <m:t>s</m:t>
        </m:r>
        <m:r>
          <m:t>e</m:t>
        </m:r>
        <m:r>
          <m:t>c</m:t>
        </m:r>
        <m:r>
          <m:t>t</m:t>
        </m:r>
        <m:r>
          <m:t>o</m:t>
        </m:r>
        <m:r>
          <m:t>r</m:t>
        </m:r>
        <m:r>
          <m:t>s</m:t>
        </m:r>
        <m:r>
          <m:t>e</m:t>
        </m:r>
        <m:r>
          <m:t>l</m:t>
        </m:r>
        <m:r>
          <m:t>l</m:t>
        </m:r>
        <m:r>
          <m:t>o</m:t>
        </m:r>
        <m:r>
          <m:t>f</m:t>
        </m:r>
        <m:r>
          <m:t>f</m:t>
        </m:r>
        <m:r>
          <m:rPr>
            <m:sty m:val="p"/>
          </m:rPr>
          <m:t>/</m:t>
        </m:r>
        <m:r>
          <m:t>i</m:t>
        </m:r>
        <m:r>
          <m:t>n</m:t>
        </m:r>
        <m:r>
          <m:t>s</m:t>
        </m:r>
        <m:r>
          <m:t>u</m:t>
        </m:r>
        <m:r>
          <m:t>r</m:t>
        </m:r>
        <m:r>
          <m:t>a</m:t>
        </m:r>
        <m:r>
          <m:t>n</m:t>
        </m:r>
        <m:r>
          <m:t>c</m:t>
        </m:r>
        <m:r>
          <m:t>e</m:t>
        </m:r>
        <m:r>
          <m:rPr>
            <m:sty m:val="p"/>
          </m:rPr>
          <m:t>−</m:t>
        </m:r>
        <m:r>
          <m:t>c</m:t>
        </m:r>
        <m:r>
          <m:t>o</m:t>
        </m:r>
        <m:r>
          <m:t>m</m:t>
        </m:r>
        <m:r>
          <m:t>p</m:t>
        </m:r>
        <m:r>
          <m:t>e</m:t>
        </m:r>
        <m:r>
          <m:t>t</m:t>
        </m:r>
        <m:r>
          <m:t>i</m:t>
        </m:r>
        <m:r>
          <m:t>t</m:t>
        </m:r>
        <m:r>
          <m:t>i</m:t>
        </m:r>
        <m:r>
          <m:t>o</m:t>
        </m:r>
        <m:r>
          <m:t>n</m:t>
        </m:r>
        <m:r>
          <m:t>a</m:t>
        </m:r>
        <m:r>
          <m:t>n</m:t>
        </m:r>
        <m:r>
          <m:t>d</m:t>
        </m:r>
        <m:r>
          <m:t>r</m:t>
        </m:r>
        <m:r>
          <m:t>a</m:t>
        </m:r>
        <m:r>
          <m:t>t</m:t>
        </m:r>
        <m:r>
          <m:t>e</m:t>
        </m:r>
        <m:r>
          <m:rPr>
            <m:sty m:val="p"/>
          </m:rPr>
          <m:t>−</m:t>
        </m:r>
        <m:r>
          <m:t>v</m:t>
        </m:r>
        <m:r>
          <m:t>o</m:t>
        </m:r>
        <m:r>
          <m:t>l</m:t>
        </m:r>
        <m:r>
          <m:t>a</m:t>
        </m:r>
        <m:r>
          <m:t>t</m:t>
        </m:r>
        <m:r>
          <m:t>i</m:t>
        </m:r>
        <m:r>
          <m:t>l</m:t>
        </m:r>
        <m:r>
          <m:t>i</m:t>
        </m:r>
        <m:r>
          <m:t>t</m:t>
        </m:r>
        <m:r>
          <m:t>y</m:t>
        </m:r>
        <m:r>
          <m:t>n</m:t>
        </m:r>
        <m:r>
          <m:t>a</m:t>
        </m:r>
        <m:r>
          <m:t>r</m:t>
        </m:r>
        <m:r>
          <m:t>r</m:t>
        </m:r>
        <m:r>
          <m:t>a</m:t>
        </m:r>
        <m:r>
          <m:t>t</m:t>
        </m:r>
        <m:r>
          <m:t>i</m:t>
        </m:r>
        <m:r>
          <m:t>v</m:t>
        </m:r>
        <m:r>
          <m:t>e</m:t>
        </m:r>
        <m:r>
          <m:rPr>
            <m:sty m:val="p"/>
          </m:rPr>
          <m:t>)</m:t>
        </m:r>
        <m:r>
          <m:rPr>
            <m:sty m:val="p"/>
          </m:rPr>
          <m:t>,</m:t>
        </m:r>
        <m:r>
          <m:t>b</m:t>
        </m:r>
        <m:r>
          <m:t>e</m:t>
        </m:r>
        <m:r>
          <m:t>f</m:t>
        </m:r>
        <m:r>
          <m:t>o</m:t>
        </m:r>
        <m:r>
          <m:t>r</m:t>
        </m:r>
        <m:r>
          <m:t>e</m:t>
        </m:r>
        <m:r>
          <m:t>r</m:t>
        </m:r>
        <m:r>
          <m:t>e</m:t>
        </m:r>
        <m:r>
          <m:t>c</m:t>
        </m:r>
        <m:r>
          <m:t>o</m:t>
        </m:r>
        <m:r>
          <m:t>v</m:t>
        </m:r>
        <m:r>
          <m:t>e</m:t>
        </m:r>
        <m:r>
          <m:t>r</m:t>
        </m:r>
        <m:r>
          <m:t>i</m:t>
        </m:r>
        <m:r>
          <m:t>n</m:t>
        </m:r>
        <m:r>
          <m:t>g</m:t>
        </m:r>
        <m:r>
          <m:t>t</m:t>
        </m:r>
        <m:r>
          <m:t>o</m:t>
        </m:r>
        <m:r>
          <m:t>t</m:t>
        </m:r>
        <m:r>
          <m:t>h</m:t>
        </m:r>
        <m:r>
          <m:t>e</m:t>
        </m:r>
        <m:r>
          <m:t> </m:t>
        </m:r>
      </m:oMath>
      <w:r>
        <w:t xml:space="preserve">95–103 range in July, closing around</w:t>
      </w:r>
      <w:r>
        <w:t xml:space="preserve"> </w:t>
      </w:r>
      <w:r>
        <w:rPr>
          <w:b/>
          <w:bCs/>
        </w:rPr>
        <w:t xml:space="preserve">$101</w:t>
      </w:r>
      <w:r>
        <w:t xml:space="preserve"> </w:t>
      </w:r>
      <w:r>
        <w:t xml:space="preserve">the day before earnings, aided partly by the DCC news flow.</w:t>
      </w:r>
    </w:p>
    <w:p>
      <w:pPr>
        <w:pStyle w:val="Compact"/>
        <w:numPr>
          <w:ilvl w:val="0"/>
          <w:numId w:val="1003"/>
        </w:numPr>
      </w:pPr>
      <w:r>
        <w:rPr>
          <w:b/>
          <w:bCs/>
        </w:rPr>
        <w:t xml:space="preserve">Sector read-through — Blackstone (reported 7/23):</w:t>
      </w:r>
      <w:r>
        <w:t xml:space="preserve"> </w:t>
      </w:r>
      <w:r>
        <w:t xml:space="preserve">BX posted a notable beat: distributable EPS of $1.52 vs. $1.33 consensus, net inflows of</w:t>
      </w:r>
      <w:r>
        <w:t xml:space="preserve"> </w:t>
      </w:r>
      <m:oMath>
        <m:r>
          <m:t>68.3</m:t>
        </m:r>
        <m:r>
          <m:t>B</m:t>
        </m:r>
        <m:r>
          <m:t>v</m:t>
        </m:r>
        <m:r>
          <m:t>s</m:t>
        </m:r>
        <m:r>
          <m:rPr>
            <m:sty m:val="p"/>
          </m:rPr>
          <m:t>.</m:t>
        </m:r>
        <m:r>
          <m:t> </m:t>
        </m:r>
      </m:oMath>
      <w:r>
        <w:t xml:space="preserve">54B expected, AUM of $1.34T, and performance revenue up 68% YoY — with all four segments outperforming on inflows. This sets a constructive tone for the group heading into KKR's print, though BX's mix (heavier AI/data-center and real estate exposure) differs from KKR's insurance-heavy model.</w:t>
      </w:r>
    </w:p>
    <w:p>
      <w:pPr>
        <w:pStyle w:val="Compact"/>
        <w:numPr>
          <w:ilvl w:val="0"/>
          <w:numId w:val="1003"/>
        </w:numPr>
      </w:pPr>
      <w:r>
        <w:rPr>
          <w:b/>
          <w:bCs/>
        </w:rPr>
        <w:t xml:space="preserve">Macro backdrop turned more volatile, not less:</w:t>
      </w:r>
      <w:r>
        <w:t xml:space="preserve"> </w:t>
      </w:r>
      <w:r>
        <w:t xml:space="preserve">Since Q1, an escalating U.S.-Iran conflict pushed Brent crude toward $100/barrel, and Fed-hike odds have resurfaced (markets debating a possible 25bp hike at the upcoming meeting under new Chair Kevin Warsh) after briefly pricing in no hikes. This is directly relevant to the "monetization environment" language management used in May — a still-choppy macro tape into quarter-end argues for continued caution on the timing (not magnitude) of realizations, and could pressure insurance spreads/ROE dynamics further.</w:t>
      </w:r>
    </w:p>
    <w:p>
      <w:r>
        <w:pict>
          <v:rect style="width:0;height:1.5pt" o:hralign="center" o:hrstd="t" o:hr="t"/>
        </w:pict>
      </w:r>
    </w:p>
    <w:bookmarkEnd w:id="11"/>
    <w:bookmarkStart w:id="12" w:name="X529a3a5563e67f4d18ffac3e0a39c0a59ed23a3"/>
    <w:p>
      <w:pPr>
        <w:pStyle w:val="Heading2"/>
      </w:pPr>
      <w:r>
        <w:t xml:space="preserve">3. Key Questions for the Call</w:t>
      </w:r>
    </w:p>
    <w:p>
      <w:pPr>
        <w:pStyle w:val="Compact"/>
        <w:numPr>
          <w:ilvl w:val="0"/>
          <w:numId w:val="1004"/>
        </w:numPr>
      </w:pPr>
      <w:r>
        <w:rPr>
          <w:b/>
          <w:bCs/>
        </w:rPr>
        <w:t xml:space="preserve">ANI trajectory vs. $7/share target:</w:t>
      </w:r>
      <w:r>
        <w:t xml:space="preserve"> </w:t>
      </w:r>
      <w:r>
        <w:t xml:space="preserve">Has the outlook improved, stayed the same, or deteriorated further given the Iran conflict/oil spike/rate volatility since May? Watch for updated framing on the forward monetization pipeline (was $1.2B+ as of May 5).</w:t>
      </w:r>
    </w:p>
    <w:p>
      <w:pPr>
        <w:pStyle w:val="Compact"/>
        <w:numPr>
          <w:ilvl w:val="0"/>
          <w:numId w:val="1004"/>
        </w:numPr>
      </w:pPr>
      <w:r>
        <w:rPr>
          <w:b/>
          <w:bCs/>
        </w:rPr>
        <w:t xml:space="preserve">Insurance ROE and competitive dynamics:</w:t>
      </w:r>
      <w:r>
        <w:t xml:space="preserve"> </w:t>
      </w:r>
      <w:r>
        <w:t xml:space="preserve">Did spread widening in Q2 (flagged as starting to happen on the Q1 call) translate into better origination economics at Global Atlantic, or did competition remain intense?</w:t>
      </w:r>
    </w:p>
    <w:p>
      <w:pPr>
        <w:pStyle w:val="Compact"/>
        <w:numPr>
          <w:ilvl w:val="0"/>
          <w:numId w:val="1004"/>
        </w:numPr>
      </w:pPr>
      <w:r>
        <w:rPr>
          <w:b/>
          <w:bCs/>
        </w:rPr>
        <w:t xml:space="preserve">Fundraising cadence:</w:t>
      </w:r>
      <w:r>
        <w:t xml:space="preserve"> </w:t>
      </w:r>
      <w:r>
        <w:t xml:space="preserve">Management explicitly guided to expect a</w:t>
      </w:r>
      <w:r>
        <w:t xml:space="preserve"> </w:t>
      </w:r>
      <w:r>
        <w:rPr>
          <w:b/>
          <w:bCs/>
        </w:rPr>
        <w:t xml:space="preserve">Q2 slowdown</w:t>
      </w:r>
      <w:r>
        <w:t xml:space="preserve"> </w:t>
      </w:r>
      <w:r>
        <w:t xml:space="preserve">in wealth/K-Series flows (consistent with the pattern after last year's tariff shock), even while reaffirming confidence in full-year fundraising, FRE/share, and Strategic Holdings targets. Did that play out, and how are institutional flows into direct lending/ABF tracking?</w:t>
      </w:r>
    </w:p>
    <w:p>
      <w:pPr>
        <w:pStyle w:val="Compact"/>
        <w:numPr>
          <w:ilvl w:val="0"/>
          <w:numId w:val="1004"/>
        </w:numPr>
      </w:pPr>
      <w:r>
        <w:rPr>
          <w:b/>
          <w:bCs/>
        </w:rPr>
        <w:t xml:space="preserve">Capital allocation:</w:t>
      </w:r>
      <w:r>
        <w:t xml:space="preserve"> </w:t>
      </w:r>
      <w:r>
        <w:t xml:space="preserve">Pace of buybacks (an area management said they "leaned into" given perceived undervaluation), further M&amp;A (Arctos integration progress, DCC), and dividend trajectory (KKR has raised its dividend every year since 2018, +5% annualized this year to $0.78).</w:t>
      </w:r>
    </w:p>
    <w:p>
      <w:pPr>
        <w:pStyle w:val="Compact"/>
        <w:numPr>
          <w:ilvl w:val="0"/>
          <w:numId w:val="1004"/>
        </w:numPr>
      </w:pPr>
      <w:r>
        <w:rPr>
          <w:b/>
          <w:bCs/>
        </w:rPr>
        <w:t xml:space="preserve">Realized activity:</w:t>
      </w:r>
      <w:r>
        <w:t xml:space="preserve"> </w:t>
      </w:r>
      <w:r>
        <w:t xml:space="preserve">Following strong Q1 monetizations (OneStream, CoolIT Systems at ~15x cost, Hyundai Marine Solutions secondary at 7x+), which deals closed or were announced in Q2, and how do embedded gains (</w:t>
      </w:r>
      <m:oMath>
        <m:r>
          <m:t>18.3</m:t>
        </m:r>
        <m:r>
          <m:t>B</m:t>
        </m:r>
        <m:r>
          <m:t>a</m:t>
        </m:r>
        <m:r>
          <m:t>t</m:t>
        </m:r>
        <m:r>
          <m:t>Q</m:t>
        </m:r>
        <m:r>
          <m:t>1</m:t>
        </m:r>
        <m:r>
          <m:rPr>
            <m:sty m:val="p"/>
          </m:rPr>
          <m:t>−</m:t>
        </m:r>
        <m:r>
          <m:t>e</m:t>
        </m:r>
        <m:r>
          <m:t>n</m:t>
        </m:r>
        <m:r>
          <m:t>d</m:t>
        </m:r>
        <m:r>
          <m:rPr>
            <m:sty m:val="p"/>
          </m:rPr>
          <m:t>)</m:t>
        </m:r>
        <m:r>
          <m:t>a</m:t>
        </m:r>
        <m:r>
          <m:t>n</m:t>
        </m:r>
        <m:r>
          <m:t>d</m:t>
        </m:r>
        <m:r>
          <m:t>g</m:t>
        </m:r>
        <m:r>
          <m:t>r</m:t>
        </m:r>
        <m:r>
          <m:t>o</m:t>
        </m:r>
        <m:r>
          <m:t>s</m:t>
        </m:r>
        <m:r>
          <m:t>s</m:t>
        </m:r>
        <m:r>
          <m:t>u</m:t>
        </m:r>
        <m:r>
          <m:t>n</m:t>
        </m:r>
        <m:r>
          <m:t>r</m:t>
        </m:r>
        <m:r>
          <m:t>e</m:t>
        </m:r>
        <m:r>
          <m:t>a</m:t>
        </m:r>
        <m:r>
          <m:t>l</m:t>
        </m:r>
        <m:r>
          <m:t>i</m:t>
        </m:r>
        <m:r>
          <m:t>z</m:t>
        </m:r>
        <m:r>
          <m:t>e</m:t>
        </m:r>
        <m:r>
          <m:t>d</m:t>
        </m:r>
        <m:r>
          <m:t>p</m:t>
        </m:r>
        <m:r>
          <m:t>e</m:t>
        </m:r>
        <m:r>
          <m:t>r</m:t>
        </m:r>
        <m:r>
          <m:t>f</m:t>
        </m:r>
        <m:r>
          <m:t>o</m:t>
        </m:r>
        <m:r>
          <m:t>r</m:t>
        </m:r>
        <m:r>
          <m:t>m</m:t>
        </m:r>
        <m:r>
          <m:t>a</m:t>
        </m:r>
        <m:r>
          <m:t>n</m:t>
        </m:r>
        <m:r>
          <m:t>c</m:t>
        </m:r>
        <m:r>
          <m:t>e</m:t>
        </m:r>
        <m:r>
          <m:t>i</m:t>
        </m:r>
        <m:r>
          <m:t>n</m:t>
        </m:r>
        <m:r>
          <m:t>c</m:t>
        </m:r>
        <m:r>
          <m:t>o</m:t>
        </m:r>
        <m:r>
          <m:t>m</m:t>
        </m:r>
        <m:r>
          <m:t>e</m:t>
        </m:r>
        <m:r>
          <m:rPr>
            <m:sty m:val="p"/>
          </m:rPr>
          <m:t>(</m:t>
        </m:r>
      </m:oMath>
      <w:r>
        <w:t xml:space="preserve">10.2B) trend?</w:t>
      </w:r>
    </w:p>
    <w:p>
      <w:pPr>
        <w:pStyle w:val="Compact"/>
        <w:numPr>
          <w:ilvl w:val="0"/>
          <w:numId w:val="1004"/>
        </w:numPr>
      </w:pPr>
      <w:r>
        <w:rPr>
          <w:b/>
          <w:bCs/>
        </w:rPr>
        <w:t xml:space="preserve">AI exposure/underwriting:</w:t>
      </w:r>
      <w:r>
        <w:t xml:space="preserve"> </w:t>
      </w:r>
      <w:r>
        <w:t xml:space="preserve">Continued investor focus (raised repeatedly on the Q1 call) on AI disruption risk within Strategic Holdings' business-services concentration (~1/3 of LTM EBITDA) and software-heavy portfolio segments, versus AI as a value-creation tool across the 150+ portfolio companies deploying it.</w:t>
      </w:r>
    </w:p>
    <w:p>
      <w:r>
        <w:pict>
          <v:rect style="width:0;height:1.5pt" o:hralign="center" o:hrstd="t" o:hr="t"/>
        </w:pict>
      </w:r>
    </w:p>
    <w:bookmarkEnd w:id="12"/>
    <w:bookmarkStart w:id="13" w:name="Xaf05c12d3926af082c22fe47a0e2a377c728502"/>
    <w:p>
      <w:pPr>
        <w:pStyle w:val="Heading2"/>
      </w:pPr>
      <w:r>
        <w:t xml:space="preserve">4. Consensus &amp; Setup</w:t>
      </w:r>
    </w:p>
    <w:p>
      <w:pPr>
        <w:pStyle w:val="Compact"/>
        <w:numPr>
          <w:ilvl w:val="0"/>
          <w:numId w:val="1005"/>
        </w:numPr>
      </w:pPr>
      <w:r>
        <w:rPr>
          <w:b/>
          <w:bCs/>
        </w:rPr>
        <w:t xml:space="preserve">Street estimates for Q2:</w:t>
      </w:r>
      <w:r>
        <w:t xml:space="preserve"> </w:t>
      </w:r>
      <w:r>
        <w:t xml:space="preserve">AUM growth of ~15% YoY to</w:t>
      </w:r>
      <w:r>
        <w:t xml:space="preserve"> </w:t>
      </w:r>
      <w:r>
        <w:rPr>
          <w:b/>
          <w:bCs/>
        </w:rPr>
        <w:t xml:space="preserve">$788B</w:t>
      </w:r>
      <w:r>
        <w:t xml:space="preserve">; adjusted</w:t>
      </w:r>
      <w:r>
        <w:t xml:space="preserve"> </w:t>
      </w:r>
      <w:r>
        <w:rPr>
          <w:b/>
          <w:bCs/>
        </w:rPr>
        <w:t xml:space="preserve">EPS of $1.43</w:t>
      </w:r>
      <w:r>
        <w:t xml:space="preserve"> </w:t>
      </w:r>
      <w:r>
        <w:t xml:space="preserve">(vs. $1.39 in Q1 2026 and roughly in line with the ~20% YoY growth cadence seen all year).</w:t>
      </w:r>
    </w:p>
    <w:p>
      <w:pPr>
        <w:pStyle w:val="Compact"/>
        <w:numPr>
          <w:ilvl w:val="0"/>
          <w:numId w:val="1005"/>
        </w:numPr>
      </w:pPr>
      <w:r>
        <w:rPr>
          <w:b/>
          <w:bCs/>
        </w:rPr>
        <w:t xml:space="preserve">Sentiment:</w:t>
      </w:r>
      <w:r>
        <w:t xml:space="preserve"> </w:t>
      </w:r>
      <w:r>
        <w:t xml:space="preserve">Broadly positive on the long-term alternative-asset-manager growth story, but with lingering near-term concern specifically around (a) the pace/timing of monetizations in a choppier macro/geopolitical environment, and (b) rising competition in the insurance/annuity channel — the same two issues management flagged explicitly in Q1.</w:t>
      </w:r>
    </w:p>
    <w:p>
      <w:pPr>
        <w:pStyle w:val="Compact"/>
        <w:numPr>
          <w:ilvl w:val="0"/>
          <w:numId w:val="1005"/>
        </w:numPr>
      </w:pPr>
      <w:r>
        <w:rPr>
          <w:b/>
          <w:bCs/>
        </w:rPr>
        <w:t xml:space="preserve">Valuation backdrop:</w:t>
      </w:r>
      <w:r>
        <w:t xml:space="preserve"> </w:t>
      </w:r>
      <w:r>
        <w:t xml:space="preserve">Shares have been rangebound/volatile (roughly</w:t>
      </w:r>
      <w:r>
        <w:t xml:space="preserve"> </w:t>
      </w:r>
      <m:oMath>
        <m:r>
          <m:t>89</m:t>
        </m:r>
        <m:r>
          <m:rPr>
            <m:sty m:val="p"/>
          </m:rPr>
          <m:t>–</m:t>
        </m:r>
      </m:oMath>
      <w:r>
        <w:t xml:space="preserve">105 since Q1 earnings), which management has characterized as a "disconnect between perception and lived experience," pointing to steady 10–25% annual growth across AUM, FPAUM, FRE, TOE and ANI even as the stock has chopped sideways — a framing likely to reappear on tomorrow's call.</w:t>
      </w:r>
    </w:p>
    <w:p>
      <w:r>
        <w:pict>
          <v:rect style="width:0;height:1.5pt" o:hralign="center" o:hrstd="t" o:hr="t"/>
        </w:pict>
      </w:r>
    </w:p>
    <w:bookmarkEnd w:id="13"/>
    <w:bookmarkStart w:id="14" w:name="X1dac5d2f16b90bede4e2cc816414412e73d3e91"/>
    <w:p>
      <w:pPr>
        <w:pStyle w:val="Heading2"/>
      </w:pPr>
      <w:r>
        <w:t xml:space="preserve">5. Bottom Line for Investors</w:t>
      </w:r>
    </w:p>
    <w:p>
      <w:pPr>
        <w:pStyle w:val="FirstParagraph"/>
      </w:pPr>
      <w:r>
        <w:t xml:space="preserve">The fundamental engine — fee-related earnings, fundraising breadth across PE/credit/real assets, and a record uncalled-commitment/dry-powder base ($125B) — has continued to compound at a healthy double-digit clip and isn't really in question. The debate is about</w:t>
      </w:r>
      <w:r>
        <w:t xml:space="preserve"> </w:t>
      </w:r>
      <w:r>
        <w:rPr>
          <w:b/>
          <w:bCs/>
        </w:rPr>
        <w:t xml:space="preserve">the top line's most volatile component: realized performance/investment income</w:t>
      </w:r>
      <w:r>
        <w:t xml:space="preserve">, where management has already told investors to expect the full-year ANI outcome to land below its original $7+/share ambition due to a slower-than-planned monetization cadence, and where the macro backdrop (Middle East conflict, oil spike, renewed Fed-hike risk) has, if anything, gotten more uncertain rather than less since that guidance was given. A strong Blackstone print sets a constructive sector tone, but KKR's larger insurance exposure (Global Atlantic) means the read-through is only partial — the annuity competitive/spread dynamic and Strategic Holdings ramp will likely matter as much as the headline AUM/EPS beat-or-miss tomorrow.</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2026-07-29T18:29:47Z</dcterms:created>
  <dcterms:modified xsi:type="dcterms:W3CDTF">2026-07-29T18:29:47Z</dcterms:modified>
</cp:coreProperties>
</file>

<file path=docProps/custom.xml><?xml version="1.0" encoding="utf-8"?>
<Properties xmlns="http://schemas.openxmlformats.org/officeDocument/2006/custom-properties" xmlns:vt="http://schemas.openxmlformats.org/officeDocument/2006/docPropsVTypes"/>
</file>