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kr-earnings-predictions--2026-07-30"/>
    <w:p>
      <w:pPr>
        <w:pStyle w:val="Heading1"/>
      </w:pPr>
      <w:r>
        <w:t xml:space="preserve">KKR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income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~$1.20 vs. cons $1.18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AUM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~$798B vs. cons $788B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Fee-related earnings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~21% vs. cons 20%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net income per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~$6.60 vs. cons $6.55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Strategic Holdings operating earnings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~$350M vs. cons $350M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Forward gross monetization pipeline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~$1.60B vs. cons $1.50B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+4.2% (FOLLOW-THROUGH)</w:t>
            </w:r>
          </w:p>
        </w:tc>
        <w:tc>
          <w:tcPr/>
          <w:p>
            <w:pPr>
              <w:pStyle w:val="Compact"/>
            </w:pPr>
            <w:r>
              <w:t xml:space="preserve">Recurring-earnings and AUM upside should lift estimates, while implied FY2026 ANI of ~</w:t>
            </w:r>
            <m:oMath>
              <m:r>
                <m:t>6.60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6.55 avoids an incremental cut; delayed monetizations shifting into 2027 support out-period revisions rather than creating a post-beat estimate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2026-07-29T18:31:30Z</dcterms:created>
  <dcterms:modified xsi:type="dcterms:W3CDTF">2026-07-29T18:31:30Z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