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kkr-q2-2026-earnings-preview"/>
    <w:p>
      <w:pPr>
        <w:pStyle w:val="Heading1"/>
      </w:pPr>
      <w:r>
        <w:t xml:space="preserve">KKR Q2 2026 Earnings Preview</w:t>
      </w:r>
    </w:p>
    <w:p>
      <w:pPr>
        <w:pStyle w:val="FirstParagraph"/>
      </w:pPr>
      <w:r>
        <w:rPr>
          <w:b/>
          <w:bCs/>
        </w:rPr>
        <w:t xml:space="preserve">Report date:</w:t>
      </w:r>
      <w:r>
        <w:t xml:space="preserve"> </w:t>
      </w:r>
      <w:r>
        <w:t xml:space="preserve">Thursday, July 30, 2026, before the NYSE open</w:t>
      </w:r>
      <w:r>
        <w:br/>
      </w:r>
      <w:r>
        <w:rPr>
          <w:b/>
          <w:bCs/>
        </w:rPr>
        <w:t xml:space="preserve">Conference call:</w:t>
      </w:r>
      <w:r>
        <w:t xml:space="preserve"> </w:t>
      </w:r>
      <w:r>
        <w:t xml:space="preserve">9:00 a.m. ET</w:t>
      </w:r>
      <w:r>
        <w:br/>
      </w:r>
      <w:r>
        <w:rPr>
          <w:b/>
          <w:bCs/>
        </w:rPr>
        <w:t xml:space="preserve">Closing share price on July 29:</w:t>
      </w:r>
      <w:r>
        <w:t xml:space="preserve"> </w:t>
      </w:r>
      <w:r>
        <w:t xml:space="preserve">$101.25</w:t>
      </w:r>
    </w:p>
    <w:bookmarkStart w:id="9" w:name="investment-setup"/>
    <w:p>
      <w:pPr>
        <w:pStyle w:val="Heading2"/>
      </w:pPr>
      <w:r>
        <w:t xml:space="preserve">Investment setup</w:t>
      </w:r>
    </w:p>
    <w:p>
      <w:pPr>
        <w:pStyle w:val="FirstParagraph"/>
      </w:pPr>
      <w:r>
        <w:t xml:space="preserve">KKR enters the quarter with a sharp disconnect between operating momentum and market sentiment. Its first-quarter recurring earnings metrics grew roughly 20% year over year, fundraising remained strong, and management described realization visibility as the best in the firm’s history. Yet the stock is down approximately</w:t>
      </w:r>
      <w:r>
        <w:t xml:space="preserve"> </w:t>
      </w:r>
      <w:r>
        <w:rPr>
          <w:b/>
          <w:bCs/>
        </w:rPr>
        <w:t xml:space="preserve">21% year to date</w:t>
      </w:r>
      <w:r>
        <w:t xml:space="preserve">, versus an 8% gain for the S&amp;P 500.</w:t>
      </w:r>
    </w:p>
    <w:p>
      <w:pPr>
        <w:pStyle w:val="BodyText"/>
      </w:pPr>
      <w:r>
        <w:t xml:space="preserve">The central question is therefore not simply whether KKR beats quarterly EPS. Investors need evidence that:</w:t>
      </w:r>
    </w:p>
    <w:p>
      <w:pPr>
        <w:pStyle w:val="Compact"/>
        <w:numPr>
          <w:ilvl w:val="0"/>
          <w:numId w:val="1001"/>
        </w:numPr>
      </w:pPr>
      <w:r>
        <w:t xml:space="preserve">Fee-related earnings can continue growing around 20% despite a volatile fundraising backdrop.</w:t>
      </w:r>
    </w:p>
    <w:p>
      <w:pPr>
        <w:pStyle w:val="Compact"/>
        <w:numPr>
          <w:ilvl w:val="0"/>
          <w:numId w:val="1001"/>
        </w:numPr>
      </w:pPr>
      <w:r>
        <w:t xml:space="preserve">Monetizations have not been pushed materially further into the future.</w:t>
      </w:r>
    </w:p>
    <w:p>
      <w:pPr>
        <w:pStyle w:val="Compact"/>
        <w:numPr>
          <w:ilvl w:val="0"/>
          <w:numId w:val="1001"/>
        </w:numPr>
      </w:pPr>
      <w:r>
        <w:t xml:space="preserve">Global Atlantic can improve profitability despite intense annuity competition.</w:t>
      </w:r>
    </w:p>
    <w:p>
      <w:pPr>
        <w:pStyle w:val="Compact"/>
        <w:numPr>
          <w:ilvl w:val="0"/>
          <w:numId w:val="1001"/>
        </w:numPr>
      </w:pPr>
      <w:r>
        <w:t xml:space="preserve">Growth in AUM is organic and fee-generating—not primarily acquisition-driven.</w:t>
      </w:r>
    </w:p>
    <w:p>
      <w:pPr>
        <w:pStyle w:val="Compact"/>
        <w:numPr>
          <w:ilvl w:val="0"/>
          <w:numId w:val="1001"/>
        </w:numPr>
      </w:pPr>
      <w:r>
        <w:t xml:space="preserve">Share repurchases can offset a meaningful second-quarter increase in adjusted shares.</w:t>
      </w:r>
    </w:p>
    <w:bookmarkEnd w:id="9"/>
    <w:bookmarkStart w:id="10" w:name="consensus-snapshot"/>
    <w:p>
      <w:pPr>
        <w:pStyle w:val="Heading2"/>
      </w:pPr>
      <w:r>
        <w:t xml:space="preserve">Consensus snapshot</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Comparison</w:t>
            </w:r>
          </w:p>
        </w:tc>
      </w:tr>
      <w:tr>
        <w:tc>
          <w:tcPr/>
          <w:p>
            <w:pPr>
              <w:pStyle w:val="Compact"/>
            </w:pPr>
            <w:r>
              <w:t xml:space="preserve">Adjusted net income per share</w:t>
            </w:r>
          </w:p>
        </w:tc>
        <w:tc>
          <w:tcPr/>
          <w:p>
            <w:pPr>
              <w:pStyle w:val="Compact"/>
              <w:jc w:val="right"/>
            </w:pPr>
            <w:r>
              <w:rPr>
                <w:b/>
                <w:bCs/>
              </w:rPr>
              <w:t xml:space="preserve">$1.43</w:t>
            </w:r>
          </w:p>
        </w:tc>
        <w:tc>
          <w:tcPr/>
          <w:p>
            <w:pPr>
              <w:pStyle w:val="Compact"/>
              <w:jc w:val="right"/>
            </w:pPr>
            <w:r>
              <w:t xml:space="preserve">+21% YoY; +3% QoQ</w:t>
            </w:r>
          </w:p>
        </w:tc>
      </w:tr>
      <w:tr>
        <w:tc>
          <w:tcPr/>
          <w:p>
            <w:pPr>
              <w:pStyle w:val="Compact"/>
            </w:pPr>
            <w:r>
              <w:t xml:space="preserve">Total AUM</w:t>
            </w:r>
          </w:p>
        </w:tc>
        <w:tc>
          <w:tcPr/>
          <w:p>
            <w:pPr>
              <w:pStyle w:val="Compact"/>
              <w:jc w:val="right"/>
            </w:pPr>
            <w:r>
              <w:rPr>
                <w:b/>
                <w:bCs/>
              </w:rPr>
              <w:t xml:space="preserve">$788 billion</w:t>
            </w:r>
          </w:p>
        </w:tc>
        <w:tc>
          <w:tcPr/>
          <w:p>
            <w:pPr>
              <w:pStyle w:val="Compact"/>
              <w:jc w:val="right"/>
            </w:pPr>
            <w:r>
              <w:t xml:space="preserve">+15% YoY; +4% QoQ</w:t>
            </w:r>
          </w:p>
        </w:tc>
      </w:tr>
      <w:tr>
        <w:tc>
          <w:tcPr/>
          <w:p>
            <w:pPr>
              <w:pStyle w:val="Compact"/>
            </w:pPr>
            <w:r>
              <w:t xml:space="preserve">Q2 2025 ANI per share</w:t>
            </w:r>
          </w:p>
        </w:tc>
        <w:tc>
          <w:tcPr/>
          <w:p>
            <w:pPr>
              <w:pStyle w:val="Compact"/>
              <w:jc w:val="right"/>
            </w:pPr>
            <w:r>
              <w:t xml:space="preserve">$1.18</w:t>
            </w:r>
          </w:p>
        </w:tc>
        <w:tc>
          <w:tcPr/>
          <w:p>
            <w:pPr>
              <w:pStyle w:val="Compact"/>
              <w:jc w:val="right"/>
            </w:pPr>
            <w:r>
              <w:t xml:space="preserve">—</w:t>
            </w:r>
          </w:p>
        </w:tc>
      </w:tr>
      <w:tr>
        <w:tc>
          <w:tcPr/>
          <w:p>
            <w:pPr>
              <w:pStyle w:val="Compact"/>
            </w:pPr>
            <w:r>
              <w:t xml:space="preserve">Q2 2025 FRE per share</w:t>
            </w:r>
          </w:p>
        </w:tc>
        <w:tc>
          <w:tcPr/>
          <w:p>
            <w:pPr>
              <w:pStyle w:val="Compact"/>
              <w:jc w:val="right"/>
            </w:pPr>
            <w:r>
              <w:t xml:space="preserve">$0.98</w:t>
            </w:r>
          </w:p>
        </w:tc>
        <w:tc>
          <w:tcPr/>
          <w:p>
            <w:pPr>
              <w:pStyle w:val="Compact"/>
              <w:jc w:val="right"/>
            </w:pPr>
            <w:r>
              <w:t xml:space="preserve">—</w:t>
            </w:r>
          </w:p>
        </w:tc>
      </w:tr>
      <w:tr>
        <w:tc>
          <w:tcPr/>
          <w:p>
            <w:pPr>
              <w:pStyle w:val="Compact"/>
            </w:pPr>
            <w:r>
              <w:t xml:space="preserve">Q2 2025 TOE per share</w:t>
            </w:r>
          </w:p>
        </w:tc>
        <w:tc>
          <w:tcPr/>
          <w:p>
            <w:pPr>
              <w:pStyle w:val="Compact"/>
              <w:jc w:val="right"/>
            </w:pPr>
            <w:r>
              <w:t xml:space="preserve">$1.33</w:t>
            </w:r>
          </w:p>
        </w:tc>
        <w:tc>
          <w:tcPr/>
          <w:p>
            <w:pPr>
              <w:pStyle w:val="Compact"/>
              <w:jc w:val="right"/>
            </w:pPr>
            <w:r>
              <w:t xml:space="preserve">—</w:t>
            </w:r>
          </w:p>
        </w:tc>
      </w:tr>
    </w:tbl>
    <w:p>
      <w:pPr>
        <w:pStyle w:val="BodyText"/>
      </w:pPr>
      <w:r>
        <w:rPr>
          <w:i/>
          <w:iCs/>
        </w:rPr>
        <w:t xml:space="preserve">Consensus figures can move into the report.</w:t>
      </w:r>
    </w:p>
    <w:p>
      <w:r>
        <w:pict>
          <v:rect style="width:0;height:1.5pt" o:hralign="center" o:hrstd="t" o:hr="t"/>
        </w:pict>
      </w:r>
    </w:p>
    <w:bookmarkEnd w:id="10"/>
    <w:bookmarkStart w:id="11" w:name="X43bd08b2662adf43aa8ae0cb0aa7e2b5301afaa"/>
    <w:p>
      <w:pPr>
        <w:pStyle w:val="Heading2"/>
      </w:pPr>
      <w:r>
        <w:t xml:space="preserve">1. Recurring earnings remain the core of the story</w:t>
      </w:r>
    </w:p>
    <w:p>
      <w:pPr>
        <w:pStyle w:val="FirstParagraph"/>
      </w:pPr>
      <w:r>
        <w:t xml:space="preserve">KKR produced</w:t>
      </w:r>
      <w:r>
        <w:t xml:space="preserve"> </w:t>
      </w:r>
      <w:r>
        <w:rPr>
          <w:b/>
          <w:bCs/>
        </w:rPr>
        <w:t xml:space="preserve">$1.13 of fee-related earnings per share in Q1</w:t>
      </w:r>
      <w:r>
        <w:t xml:space="preserve">, up 23% year over year. Management fees increased 30% on a reported basis and slightly more than 20% excluding catch-up fees, while the FRE margin remained near 69%.</w:t>
      </w:r>
    </w:p>
    <w:p>
      <w:pPr>
        <w:pStyle w:val="BodyText"/>
      </w:pPr>
      <w:r>
        <w:t xml:space="preserve">Management subsequently reiterated that it continued to expect</w:t>
      </w:r>
      <w:r>
        <w:t xml:space="preserve"> </w:t>
      </w:r>
      <w:r>
        <w:rPr>
          <w:b/>
          <w:bCs/>
        </w:rPr>
        <w:t xml:space="preserve">20%-plus FRE growth in 2026</w:t>
      </w:r>
      <w:r>
        <w:t xml:space="preserve">. That is arguably the most important operating benchmark for Thursday.</w:t>
      </w:r>
    </w:p>
    <w:p>
      <w:pPr>
        <w:pStyle w:val="BodyText"/>
      </w:pPr>
      <w:r>
        <w:t xml:space="preserve">Investors should focus on:</w:t>
      </w:r>
    </w:p>
    <w:p>
      <w:pPr>
        <w:pStyle w:val="Compact"/>
        <w:numPr>
          <w:ilvl w:val="0"/>
          <w:numId w:val="1002"/>
        </w:numPr>
      </w:pPr>
      <w:r>
        <w:t xml:space="preserve">Organic management-fee growth excluding catch-up fees.</w:t>
      </w:r>
    </w:p>
    <w:p>
      <w:pPr>
        <w:pStyle w:val="Compact"/>
        <w:numPr>
          <w:ilvl w:val="0"/>
          <w:numId w:val="1002"/>
        </w:numPr>
      </w:pPr>
      <w:r>
        <w:t xml:space="preserve">Fee-paying AUM growth relative to total AUM growth.</w:t>
      </w:r>
    </w:p>
    <w:p>
      <w:pPr>
        <w:pStyle w:val="Compact"/>
        <w:numPr>
          <w:ilvl w:val="0"/>
          <w:numId w:val="1002"/>
        </w:numPr>
      </w:pPr>
      <w:r>
        <w:t xml:space="preserve">FRE margin and operating-expense discipline.</w:t>
      </w:r>
    </w:p>
    <w:p>
      <w:pPr>
        <w:pStyle w:val="Compact"/>
        <w:numPr>
          <w:ilvl w:val="0"/>
          <w:numId w:val="1002"/>
        </w:numPr>
      </w:pPr>
      <w:r>
        <w:t xml:space="preserve">Capital-markets fees, which were $224 million in Q1.</w:t>
      </w:r>
    </w:p>
    <w:p>
      <w:pPr>
        <w:pStyle w:val="Compact"/>
        <w:numPr>
          <w:ilvl w:val="0"/>
          <w:numId w:val="1002"/>
        </w:numPr>
      </w:pPr>
      <w:r>
        <w:t xml:space="preserve">The initial fee contribution from Arctos Partners.</w:t>
      </w:r>
    </w:p>
    <w:p>
      <w:pPr>
        <w:pStyle w:val="FirstParagraph"/>
      </w:pPr>
      <w:r>
        <w:t xml:space="preserve">A strong report would show another quarter of approximately 20% FRE-per-share growth without relying heavily on unusually high transaction fees or catch-up revenue.</w:t>
      </w:r>
    </w:p>
    <w:bookmarkEnd w:id="11"/>
    <w:bookmarkStart w:id="12" w:name="X00e87be8db254211be791343c097425613c63ff"/>
    <w:p>
      <w:pPr>
        <w:pStyle w:val="Heading2"/>
      </w:pPr>
      <w:r>
        <w:t xml:space="preserve">2. Headline AUM growth needs to be unpacked</w:t>
      </w:r>
    </w:p>
    <w:p>
      <w:pPr>
        <w:pStyle w:val="FirstParagraph"/>
      </w:pPr>
      <w:r>
        <w:t xml:space="preserve">KKR ended Q1 with</w:t>
      </w:r>
      <w:r>
        <w:t xml:space="preserve"> </w:t>
      </w:r>
      <m:oMath>
        <m:r>
          <m:t>758</m:t>
        </m:r>
        <m:r>
          <m:t>b</m:t>
        </m:r>
        <m:r>
          <m:t>i</m:t>
        </m:r>
        <m:r>
          <m:t>l</m:t>
        </m:r>
        <m:r>
          <m:t>l</m:t>
        </m:r>
        <m:r>
          <m:t>i</m:t>
        </m:r>
        <m:r>
          <m:t>o</m:t>
        </m:r>
        <m:r>
          <m:t>n</m:t>
        </m:r>
        <m:r>
          <m:t>o</m:t>
        </m:r>
        <m:r>
          <m:t>f</m:t>
        </m:r>
        <m:r>
          <m:t>A</m:t>
        </m:r>
        <m:r>
          <m:t>U</m:t>
        </m:r>
        <m:r>
          <m:t>M</m:t>
        </m:r>
        <m:r>
          <m:rPr>
            <m:sty m:val="p"/>
          </m:rPr>
          <m:t>*</m:t>
        </m:r>
        <m:r>
          <m:rPr>
            <m:sty m:val="p"/>
          </m:rPr>
          <m:t>*</m:t>
        </m:r>
        <m:r>
          <m:t>a</m:t>
        </m:r>
        <m:r>
          <m:t>n</m:t>
        </m:r>
        <m:r>
          <m:t>d</m:t>
        </m:r>
        <m:r>
          <m:rPr>
            <m:sty m:val="p"/>
          </m:rPr>
          <m:t>*</m:t>
        </m:r>
        <m:r>
          <m:rPr>
            <m:sty m:val="p"/>
          </m:rPr>
          <m:t>*</m:t>
        </m:r>
      </m:oMath>
      <w:r>
        <w:rPr>
          <w:b/>
          <w:bCs/>
        </w:rPr>
        <w:t xml:space="preserve">615 billion of fee-paying AUM</w:t>
      </w:r>
      <w:r>
        <w:t xml:space="preserve">. The Street expects Q2 AUM of about $788 billion, implying a $30 billion sequential increase.</w:t>
      </w:r>
    </w:p>
    <w:p>
      <w:pPr>
        <w:pStyle w:val="BodyText"/>
      </w:pPr>
      <w:r>
        <w:t xml:space="preserve">However, KKR closed its acquisition of Arctos on May 5. Arctos brought approximately:</w:t>
      </w:r>
    </w:p>
    <w:p>
      <w:pPr>
        <w:pStyle w:val="Compact"/>
        <w:numPr>
          <w:ilvl w:val="0"/>
          <w:numId w:val="1003"/>
        </w:numPr>
      </w:pPr>
      <w:r>
        <w:rPr>
          <w:b/>
          <w:bCs/>
        </w:rPr>
        <w:t xml:space="preserve">$16 billion of AUM</w:t>
      </w:r>
    </w:p>
    <w:p>
      <w:pPr>
        <w:pStyle w:val="Compact"/>
        <w:numPr>
          <w:ilvl w:val="0"/>
          <w:numId w:val="1003"/>
        </w:numPr>
      </w:pPr>
      <w:r>
        <w:rPr>
          <w:b/>
          <w:bCs/>
        </w:rPr>
        <w:t xml:space="preserve">$10 billion of fee-paying AUM</w:t>
      </w:r>
    </w:p>
    <w:p>
      <w:pPr>
        <w:pStyle w:val="FirstParagraph"/>
      </w:pPr>
      <w:r>
        <w:t xml:space="preserve">Arctos therefore could account for more than half of the expected sequential AUM increase. Investors should separate:</w:t>
      </w:r>
    </w:p>
    <w:p>
      <w:pPr>
        <w:pStyle w:val="Compact"/>
        <w:numPr>
          <w:ilvl w:val="0"/>
          <w:numId w:val="1004"/>
        </w:numPr>
      </w:pPr>
      <w:r>
        <w:t xml:space="preserve">Acquired AUM.</w:t>
      </w:r>
    </w:p>
    <w:p>
      <w:pPr>
        <w:pStyle w:val="Compact"/>
        <w:numPr>
          <w:ilvl w:val="0"/>
          <w:numId w:val="1004"/>
        </w:numPr>
      </w:pPr>
      <w:r>
        <w:t xml:space="preserve">Organic fundraising.</w:t>
      </w:r>
    </w:p>
    <w:p>
      <w:pPr>
        <w:pStyle w:val="Compact"/>
        <w:numPr>
          <w:ilvl w:val="0"/>
          <w:numId w:val="1004"/>
        </w:numPr>
      </w:pPr>
      <w:r>
        <w:t xml:space="preserve">Market appreciation and fund performance.</w:t>
      </w:r>
    </w:p>
    <w:p>
      <w:pPr>
        <w:pStyle w:val="Compact"/>
        <w:numPr>
          <w:ilvl w:val="0"/>
          <w:numId w:val="1004"/>
        </w:numPr>
      </w:pPr>
      <w:r>
        <w:t xml:space="preserve">Distributions and redemptions.</w:t>
      </w:r>
    </w:p>
    <w:p>
      <w:pPr>
        <w:pStyle w:val="Compact"/>
        <w:numPr>
          <w:ilvl w:val="0"/>
          <w:numId w:val="1004"/>
        </w:numPr>
      </w:pPr>
      <w:r>
        <w:t xml:space="preserve">Capital that began paying fees during the quarter.</w:t>
      </w:r>
    </w:p>
    <w:p>
      <w:pPr>
        <w:pStyle w:val="FirstParagraph"/>
      </w:pPr>
      <w:r>
        <w:t xml:space="preserve">At the end of Q1, KKR also had</w:t>
      </w:r>
      <w:r>
        <w:t xml:space="preserve"> </w:t>
      </w:r>
      <w:r>
        <w:rPr>
          <w:b/>
          <w:bCs/>
        </w:rPr>
        <w:t xml:space="preserve">$64 billion of committed AUM not yet paying fees</w:t>
      </w:r>
      <w:r>
        <w:t xml:space="preserve">, with an estimated weighted-average management fee of roughly 80 basis points. Conversion of this capital into fee-paying AUM is an important source of embedded earnings growth.</w:t>
      </w:r>
    </w:p>
    <w:bookmarkEnd w:id="12"/>
    <w:bookmarkStart w:id="13" w:name="Xdbac2195521eceff2905e4d246b2e462e08e4e6"/>
    <w:p>
      <w:pPr>
        <w:pStyle w:val="Heading2"/>
      </w:pPr>
      <w:r>
        <w:t xml:space="preserve">3. Monetizations and the full-year ANI outlook are the main swing factors</w:t>
      </w:r>
    </w:p>
    <w:p>
      <w:pPr>
        <w:pStyle w:val="FirstParagraph"/>
      </w:pPr>
      <w:r>
        <w:t xml:space="preserve">KKR generated approximately</w:t>
      </w:r>
      <w:r>
        <w:t xml:space="preserve"> </w:t>
      </w:r>
      <m:oMath>
        <m:r>
          <m:t>880</m:t>
        </m:r>
        <m:r>
          <m:t>m</m:t>
        </m:r>
        <m:r>
          <m:t>i</m:t>
        </m:r>
        <m:r>
          <m:t>l</m:t>
        </m:r>
        <m:r>
          <m:t>l</m:t>
        </m:r>
        <m:r>
          <m:t>i</m:t>
        </m:r>
        <m:r>
          <m:t>o</m:t>
        </m:r>
        <m:r>
          <m:t>n</m:t>
        </m:r>
        <m:r>
          <m:t>o</m:t>
        </m:r>
        <m:r>
          <m:t>f</m:t>
        </m:r>
        <m:r>
          <m:t>g</m:t>
        </m:r>
        <m:r>
          <m:t>r</m:t>
        </m:r>
        <m:r>
          <m:t>o</m:t>
        </m:r>
        <m:r>
          <m:t>s</m:t>
        </m:r>
        <m:r>
          <m:t>s</m:t>
        </m:r>
        <m:r>
          <m:t>m</m:t>
        </m:r>
        <m:r>
          <m:t>o</m:t>
        </m:r>
        <m:r>
          <m:t>n</m:t>
        </m:r>
        <m:r>
          <m:t>e</m:t>
        </m:r>
        <m:r>
          <m:t>t</m:t>
        </m:r>
        <m:r>
          <m:t>i</m:t>
        </m:r>
        <m:r>
          <m:t>z</m:t>
        </m:r>
        <m:r>
          <m:t>a</m:t>
        </m:r>
        <m:r>
          <m:t>t</m:t>
        </m:r>
        <m:r>
          <m:t>i</m:t>
        </m:r>
        <m:r>
          <m:t>o</m:t>
        </m:r>
        <m:r>
          <m:t>n</m:t>
        </m:r>
        <m:r>
          <m:t>r</m:t>
        </m:r>
        <m:r>
          <m:t>e</m:t>
        </m:r>
        <m:r>
          <m:t>v</m:t>
        </m:r>
        <m:r>
          <m:t>e</m:t>
        </m:r>
        <m:r>
          <m:t>n</m:t>
        </m:r>
        <m:r>
          <m:t>u</m:t>
        </m:r>
        <m:r>
          <m:t>e</m:t>
        </m:r>
        <m:r>
          <m:t>i</m:t>
        </m:r>
        <m:r>
          <m:t>n</m:t>
        </m:r>
        <m:r>
          <m:t>Q</m:t>
        </m:r>
        <m:r>
          <m:t>1</m:t>
        </m:r>
        <m:r>
          <m:rPr>
            <m:sty m:val="p"/>
          </m:rPr>
          <m:t>*</m:t>
        </m:r>
        <m:r>
          <m:rPr>
            <m:sty m:val="p"/>
          </m:rPr>
          <m:t>*</m:t>
        </m:r>
        <m:r>
          <m:rPr>
            <m:sty m:val="p"/>
          </m:rPr>
          <m:t>,</m:t>
        </m:r>
        <m:r>
          <m:t>m</m:t>
        </m:r>
        <m:r>
          <m:t>o</m:t>
        </m:r>
        <m:r>
          <m:t>r</m:t>
        </m:r>
        <m:r>
          <m:t>e</m:t>
        </m:r>
        <m:r>
          <m:t>t</m:t>
        </m:r>
        <m:r>
          <m:t>h</m:t>
        </m:r>
        <m:r>
          <m:t>a</m:t>
        </m:r>
        <m:r>
          <m:t>n</m:t>
        </m:r>
        <m:r>
          <m:t>50</m:t>
        </m:r>
      </m:oMath>
      <w:r>
        <w:rPr>
          <w:b/>
          <w:bCs/>
        </w:rPr>
        <w:t xml:space="preserve">1.2 billion of closed or signed forward monetization revenue</w:t>
      </w:r>
      <w:r>
        <w:t xml:space="preserve">, the largest such figure it had disclosed. Later in May, Co-CEO Scott Nuttall said the pipeline had increased further.</w:t>
      </w:r>
    </w:p>
    <w:p>
      <w:pPr>
        <w:pStyle w:val="BodyText"/>
      </w:pPr>
      <w:r>
        <w:t xml:space="preserve">The portfolio has generated several strong outcomes, including OneStream, CoolIT Systems, Hyundai Marine Solutions, Kokusai Electric and the aerospace division of CIRCOR.</w:t>
      </w:r>
    </w:p>
    <w:p>
      <w:pPr>
        <w:pStyle w:val="BodyText"/>
      </w:pPr>
      <w:r>
        <w:t xml:space="preserve">Nevertheless, management said in May that its original goal of</w:t>
      </w:r>
      <w:r>
        <w:t xml:space="preserve"> </w:t>
      </w:r>
      <w:r>
        <w:rPr>
          <w:b/>
          <w:bCs/>
        </w:rPr>
        <w:t xml:space="preserve">$7-plus of 2026 ANI per share was more likely to be missed than achieved</w:t>
      </w:r>
      <w:r>
        <w:t xml:space="preserve">, primarily because market volatility could delay—not eliminate—certain exits.</w:t>
      </w:r>
    </w:p>
    <w:p>
      <w:pPr>
        <w:pStyle w:val="BodyText"/>
      </w:pPr>
      <w:r>
        <w:t xml:space="preserve">Thursday’s key questions include:</w:t>
      </w:r>
    </w:p>
    <w:p>
      <w:pPr>
        <w:pStyle w:val="Compact"/>
        <w:numPr>
          <w:ilvl w:val="0"/>
          <w:numId w:val="1005"/>
        </w:numPr>
      </w:pPr>
      <w:r>
        <w:t xml:space="preserve">How much of the May realization pipeline closed in Q2?</w:t>
      </w:r>
    </w:p>
    <w:p>
      <w:pPr>
        <w:pStyle w:val="Compact"/>
        <w:numPr>
          <w:ilvl w:val="0"/>
          <w:numId w:val="1005"/>
        </w:numPr>
      </w:pPr>
      <w:r>
        <w:t xml:space="preserve">How large is the signed pipeline entering the second half?</w:t>
      </w:r>
    </w:p>
    <w:p>
      <w:pPr>
        <w:pStyle w:val="Compact"/>
        <w:numPr>
          <w:ilvl w:val="0"/>
          <w:numId w:val="1005"/>
        </w:numPr>
      </w:pPr>
      <w:r>
        <w:t xml:space="preserve">Have sale processes been delayed by geopolitical and rate uncertainty?</w:t>
      </w:r>
    </w:p>
    <w:p>
      <w:pPr>
        <w:pStyle w:val="Compact"/>
        <w:numPr>
          <w:ilvl w:val="0"/>
          <w:numId w:val="1005"/>
        </w:numPr>
      </w:pPr>
      <w:r>
        <w:t xml:space="preserve">Does management still expect any delayed earnings to shift into 2027 rather than disappear?</w:t>
      </w:r>
    </w:p>
    <w:p>
      <w:pPr>
        <w:pStyle w:val="Compact"/>
        <w:numPr>
          <w:ilvl w:val="0"/>
          <w:numId w:val="1005"/>
        </w:numPr>
      </w:pPr>
      <w:r>
        <w:t xml:space="preserve">How should investors now frame full-year ANI relative to the original $7 target?</w:t>
      </w:r>
    </w:p>
    <w:p>
      <w:pPr>
        <w:pStyle w:val="FirstParagraph"/>
      </w:pPr>
      <w:r>
        <w:t xml:space="preserve">KKR had</w:t>
      </w:r>
      <w:r>
        <w:t xml:space="preserve"> </w:t>
      </w:r>
      <w:r>
        <w:rPr>
          <w:b/>
          <w:bCs/>
        </w:rPr>
        <w:t xml:space="preserve">$18.3 billion of total embedded gains</w:t>
      </w:r>
      <w:r>
        <w:t xml:space="preserve"> </w:t>
      </w:r>
      <w:r>
        <w:t xml:space="preserve">at the end of Q1, including $10.2 billion of gross unrealized performance income. The issue is timing, not necessarily portfolio value. For that reason, updated realization commentary could move the stock more than a modest Q2 EPS beat or miss.</w:t>
      </w:r>
    </w:p>
    <w:bookmarkEnd w:id="13"/>
    <w:bookmarkStart w:id="14" w:name="X0bd1a5c1c03a38ae8597f5215d5e652baa04b84"/>
    <w:p>
      <w:pPr>
        <w:pStyle w:val="Heading2"/>
      </w:pPr>
      <w:r>
        <w:t xml:space="preserve">4. Global Atlantic needs to show better operating leverage</w:t>
      </w:r>
    </w:p>
    <w:p>
      <w:pPr>
        <w:pStyle w:val="FirstParagraph"/>
      </w:pPr>
      <w:r>
        <w:t xml:space="preserve">Global Atlantic produced</w:t>
      </w:r>
      <w:r>
        <w:t xml:space="preserve"> </w:t>
      </w:r>
      <w:r>
        <w:rPr>
          <w:b/>
          <w:bCs/>
        </w:rPr>
        <w:t xml:space="preserve">$260 million of insurance operating earnings in Q1</w:t>
      </w:r>
      <w:r>
        <w:t xml:space="preserve">, essentially flat year over year despite continued asset growth. Management attributed the muted earnings progression to:</w:t>
      </w:r>
    </w:p>
    <w:p>
      <w:pPr>
        <w:pStyle w:val="Compact"/>
        <w:numPr>
          <w:ilvl w:val="0"/>
          <w:numId w:val="1006"/>
        </w:numPr>
      </w:pPr>
      <w:r>
        <w:t xml:space="preserve">Intense competition in retail annuities.</w:t>
      </w:r>
    </w:p>
    <w:p>
      <w:pPr>
        <w:pStyle w:val="Compact"/>
        <w:numPr>
          <w:ilvl w:val="0"/>
          <w:numId w:val="1006"/>
        </w:numPr>
      </w:pPr>
      <w:r>
        <w:t xml:space="preserve">Tight asset spreads.</w:t>
      </w:r>
    </w:p>
    <w:p>
      <w:pPr>
        <w:pStyle w:val="Compact"/>
        <w:numPr>
          <w:ilvl w:val="0"/>
          <w:numId w:val="1006"/>
        </w:numPr>
      </w:pPr>
      <w:r>
        <w:t xml:space="preserve">Higher funding costs.</w:t>
      </w:r>
    </w:p>
    <w:p>
      <w:pPr>
        <w:pStyle w:val="Compact"/>
        <w:numPr>
          <w:ilvl w:val="0"/>
          <w:numId w:val="1006"/>
        </w:numPr>
      </w:pPr>
      <w:r>
        <w:t xml:space="preserve">Runoff of older, lower-cost liabilities.</w:t>
      </w:r>
    </w:p>
    <w:p>
      <w:pPr>
        <w:pStyle w:val="FirstParagraph"/>
      </w:pPr>
      <w:r>
        <w:t xml:space="preserve">Management estimated Q1 insurance operating earnings would have exceeded $300 million if certain investment appreciation were recognized and would have been closer to $330 million at its targeted investment return.</w:t>
      </w:r>
    </w:p>
    <w:p>
      <w:pPr>
        <w:pStyle w:val="BodyText"/>
      </w:pPr>
      <w:r>
        <w:t xml:space="preserve">Investors should watch:</w:t>
      </w:r>
    </w:p>
    <w:p>
      <w:pPr>
        <w:pStyle w:val="Compact"/>
        <w:numPr>
          <w:ilvl w:val="0"/>
          <w:numId w:val="1007"/>
        </w:numPr>
      </w:pPr>
      <w:r>
        <w:t xml:space="preserve">Insurance operating earnings versus Q1’s $260 million.</w:t>
      </w:r>
    </w:p>
    <w:p>
      <w:pPr>
        <w:pStyle w:val="Compact"/>
        <w:numPr>
          <w:ilvl w:val="0"/>
          <w:numId w:val="1007"/>
        </w:numPr>
      </w:pPr>
      <w:r>
        <w:t xml:space="preserve">Global Atlantic AUM and net inflows.</w:t>
      </w:r>
    </w:p>
    <w:p>
      <w:pPr>
        <w:pStyle w:val="Compact"/>
        <w:numPr>
          <w:ilvl w:val="0"/>
          <w:numId w:val="1007"/>
        </w:numPr>
      </w:pPr>
      <w:r>
        <w:t xml:space="preserve">Liability pricing and the mix between retail and institutional business.</w:t>
      </w:r>
    </w:p>
    <w:p>
      <w:pPr>
        <w:pStyle w:val="Compact"/>
        <w:numPr>
          <w:ilvl w:val="0"/>
          <w:numId w:val="1007"/>
        </w:numPr>
      </w:pPr>
      <w:r>
        <w:t xml:space="preserve">Asset yields relative to funding costs.</w:t>
      </w:r>
    </w:p>
    <w:p>
      <w:pPr>
        <w:pStyle w:val="Compact"/>
        <w:numPr>
          <w:ilvl w:val="0"/>
          <w:numId w:val="1007"/>
        </w:numPr>
      </w:pPr>
      <w:r>
        <w:t xml:space="preserve">Progress shifting toward liabilities with seven years or more of duration.</w:t>
      </w:r>
    </w:p>
    <w:p>
      <w:pPr>
        <w:pStyle w:val="Compact"/>
        <w:numPr>
          <w:ilvl w:val="0"/>
          <w:numId w:val="1007"/>
        </w:numPr>
      </w:pPr>
      <w:r>
        <w:t xml:space="preserve">Growth in Ivy and other third-party reinsurance vehicles.</w:t>
      </w:r>
    </w:p>
    <w:p>
      <w:pPr>
        <w:pStyle w:val="FirstParagraph"/>
      </w:pPr>
      <w:r>
        <w:t xml:space="preserve">The broader economics are stronger than the segment’s reported operating earnings alone. Total insurance economics—including asset-management and related capital-markets fees—reached</w:t>
      </w:r>
      <w:r>
        <w:t xml:space="preserve"> </w:t>
      </w:r>
      <w:r>
        <w:rPr>
          <w:b/>
          <w:bCs/>
        </w:rPr>
        <w:t xml:space="preserve">$1.9 billion over the 12 months through Q1</w:t>
      </w:r>
      <w:r>
        <w:t xml:space="preserve">, up 14%. Still, a clearer path to higher insurance ROE would remove an important investor concern.</w:t>
      </w:r>
    </w:p>
    <w:bookmarkEnd w:id="14"/>
    <w:bookmarkStart w:id="15" w:name="Xab47884a9ad80421918627a7a60470d807d38bb"/>
    <w:p>
      <w:pPr>
        <w:pStyle w:val="Heading2"/>
      </w:pPr>
      <w:r>
        <w:t xml:space="preserve">5. Strategic Holdings is expected to be heavily second-half weighted</w:t>
      </w:r>
    </w:p>
    <w:p>
      <w:pPr>
        <w:pStyle w:val="FirstParagraph"/>
      </w:pPr>
      <w:r>
        <w:t xml:space="preserve">Strategic Holdings generated only</w:t>
      </w:r>
      <w:r>
        <w:t xml:space="preserve"> </w:t>
      </w:r>
      <w:r>
        <w:rPr>
          <w:b/>
          <w:bCs/>
        </w:rPr>
        <w:t xml:space="preserve">$48 million of operating earnings in Q1</w:t>
      </w:r>
      <w:r>
        <w:t xml:space="preserve">, but KKR maintained its target of:</w:t>
      </w:r>
    </w:p>
    <w:p>
      <w:pPr>
        <w:pStyle w:val="Compact"/>
        <w:numPr>
          <w:ilvl w:val="0"/>
          <w:numId w:val="1008"/>
        </w:numPr>
      </w:pPr>
      <w:r>
        <w:rPr>
          <w:b/>
          <w:bCs/>
        </w:rPr>
        <w:t xml:space="preserve">$350 million-plus in 2026</w:t>
      </w:r>
    </w:p>
    <w:p>
      <w:pPr>
        <w:pStyle w:val="Compact"/>
        <w:numPr>
          <w:ilvl w:val="0"/>
          <w:numId w:val="1008"/>
        </w:numPr>
      </w:pPr>
      <w:r>
        <w:t xml:space="preserve">$700 million-plus in 2028</w:t>
      </w:r>
    </w:p>
    <w:p>
      <w:pPr>
        <w:pStyle w:val="Compact"/>
        <w:numPr>
          <w:ilvl w:val="0"/>
          <w:numId w:val="1008"/>
        </w:numPr>
      </w:pPr>
      <w:r>
        <w:t xml:space="preserve">$1.1 billion-plus in 2030</w:t>
      </w:r>
    </w:p>
    <w:p>
      <w:pPr>
        <w:pStyle w:val="FirstParagraph"/>
      </w:pPr>
      <w:r>
        <w:t xml:space="preserve">Management explicitly said 2026 earnings would be back-end weighted. Reaching the full-year target requires more than $300 million during Q2 through Q4, so investors should not necessarily expect a linear quarterly progression.</w:t>
      </w:r>
    </w:p>
    <w:p>
      <w:pPr>
        <w:pStyle w:val="BodyText"/>
      </w:pPr>
      <w:r>
        <w:t xml:space="preserve">The important signals will be whether KKR:</w:t>
      </w:r>
    </w:p>
    <w:p>
      <w:pPr>
        <w:pStyle w:val="Compact"/>
        <w:numPr>
          <w:ilvl w:val="0"/>
          <w:numId w:val="1009"/>
        </w:numPr>
      </w:pPr>
      <w:r>
        <w:t xml:space="preserve">Reaffirms the $350 million-plus target.</w:t>
      </w:r>
    </w:p>
    <w:p>
      <w:pPr>
        <w:pStyle w:val="Compact"/>
        <w:numPr>
          <w:ilvl w:val="0"/>
          <w:numId w:val="1009"/>
        </w:numPr>
      </w:pPr>
      <w:r>
        <w:t xml:space="preserve">Provides greater visibility on expected dividend timing.</w:t>
      </w:r>
    </w:p>
    <w:p>
      <w:pPr>
        <w:pStyle w:val="Compact"/>
        <w:numPr>
          <w:ilvl w:val="0"/>
          <w:numId w:val="1009"/>
        </w:numPr>
      </w:pPr>
      <w:r>
        <w:t xml:space="preserve">Reports continued EBITDA growth across the underlying holdings.</w:t>
      </w:r>
    </w:p>
    <w:p>
      <w:pPr>
        <w:pStyle w:val="Compact"/>
        <w:numPr>
          <w:ilvl w:val="0"/>
          <w:numId w:val="1009"/>
        </w:numPr>
      </w:pPr>
      <w:r>
        <w:t xml:space="preserve">Indicates that macroeconomic or AI-related disruption has affected portfolio-company cash generation.</w:t>
      </w:r>
    </w:p>
    <w:p>
      <w:pPr>
        <w:pStyle w:val="FirstParagraph"/>
      </w:pPr>
      <w:r>
        <w:t xml:space="preserve">A reaffirmation matters more than the precise Q2 contribution.</w:t>
      </w:r>
    </w:p>
    <w:bookmarkEnd w:id="15"/>
    <w:bookmarkStart w:id="16" w:name="X25fe835f2cdb9cdc9db40ff29ed3fb465498577"/>
    <w:p>
      <w:pPr>
        <w:pStyle w:val="Heading2"/>
      </w:pPr>
      <w:r>
        <w:t xml:space="preserve">6. Wealth flows and private credit remain sensitive topics</w:t>
      </w:r>
    </w:p>
    <w:p>
      <w:pPr>
        <w:pStyle w:val="FirstParagraph"/>
      </w:pPr>
      <w:r>
        <w:t xml:space="preserve">KKR’s K-Series wealth platform ended Q1 with</w:t>
      </w:r>
      <w:r>
        <w:t xml:space="preserve"> </w:t>
      </w:r>
      <w:r>
        <w:rPr>
          <w:b/>
          <w:bCs/>
        </w:rPr>
        <w:t xml:space="preserve">more than $38 billion of AUM</w:t>
      </w:r>
      <w:r>
        <w:t xml:space="preserve">, up from $21 billion a year earlier. It raised approximately $4 billion during Q1, with redemptions of roughly $250 million.</w:t>
      </w:r>
    </w:p>
    <w:p>
      <w:pPr>
        <w:pStyle w:val="BodyText"/>
      </w:pPr>
      <w:r>
        <w:t xml:space="preserve">Management had expected Q2 wealth inflows to slow following negative industry headlines. However, subsequent conference commentary remained constructive:</w:t>
      </w:r>
    </w:p>
    <w:p>
      <w:pPr>
        <w:pStyle w:val="Compact"/>
        <w:numPr>
          <w:ilvl w:val="0"/>
          <w:numId w:val="1010"/>
        </w:numPr>
      </w:pPr>
      <w:r>
        <w:t xml:space="preserve">Seven of eight wealth vehicles had positive Q1 net inflows.</w:t>
      </w:r>
    </w:p>
    <w:p>
      <w:pPr>
        <w:pStyle w:val="Compact"/>
        <w:numPr>
          <w:ilvl w:val="0"/>
          <w:numId w:val="1010"/>
        </w:numPr>
      </w:pPr>
      <w:r>
        <w:t xml:space="preserve">Private equity and infrastructure represent approximately 85% of K-Series assets.</w:t>
      </w:r>
    </w:p>
    <w:p>
      <w:pPr>
        <w:pStyle w:val="Compact"/>
        <w:numPr>
          <w:ilvl w:val="0"/>
          <w:numId w:val="1010"/>
        </w:numPr>
      </w:pPr>
      <w:r>
        <w:t xml:space="preserve">Infrastructure wealth flows remained healthy into June.</w:t>
      </w:r>
    </w:p>
    <w:p>
      <w:pPr>
        <w:pStyle w:val="Compact"/>
        <w:numPr>
          <w:ilvl w:val="0"/>
          <w:numId w:val="1010"/>
        </w:numPr>
      </w:pPr>
      <w:r>
        <w:t xml:space="preserve">Management had not observed a structural deterioration in demand.</w:t>
      </w:r>
    </w:p>
    <w:p>
      <w:pPr>
        <w:pStyle w:val="FirstParagraph"/>
      </w:pPr>
      <w:r>
        <w:t xml:space="preserve">KKR also emphasized that direct lending represents only about</w:t>
      </w:r>
      <w:r>
        <w:t xml:space="preserve"> </w:t>
      </w:r>
      <w:r>
        <w:rPr>
          <w:b/>
          <w:bCs/>
        </w:rPr>
        <w:t xml:space="preserve">5% of total AUM</w:t>
      </w:r>
      <w:r>
        <w:t xml:space="preserve">, while its private BDC exposure is less than 0.5%. Investors should avoid treating isolated public-BDC credit issues as representative of the entire KKR platform.</w:t>
      </w:r>
    </w:p>
    <w:p>
      <w:pPr>
        <w:pStyle w:val="BodyText"/>
      </w:pPr>
      <w:r>
        <w:t xml:space="preserve">Watch for:</w:t>
      </w:r>
    </w:p>
    <w:p>
      <w:pPr>
        <w:pStyle w:val="Compact"/>
        <w:numPr>
          <w:ilvl w:val="0"/>
          <w:numId w:val="1011"/>
        </w:numPr>
      </w:pPr>
      <w:r>
        <w:t xml:space="preserve">Q2 K-Series gross sales and redemptions.</w:t>
      </w:r>
    </w:p>
    <w:p>
      <w:pPr>
        <w:pStyle w:val="Compact"/>
        <w:numPr>
          <w:ilvl w:val="0"/>
          <w:numId w:val="1011"/>
        </w:numPr>
      </w:pPr>
      <w:r>
        <w:t xml:space="preserve">Any change in redemption queues or liquidity management.</w:t>
      </w:r>
    </w:p>
    <w:p>
      <w:pPr>
        <w:pStyle w:val="Compact"/>
        <w:numPr>
          <w:ilvl w:val="0"/>
          <w:numId w:val="1011"/>
        </w:numPr>
      </w:pPr>
      <w:r>
        <w:t xml:space="preserve">Institutional demand for direct lending after spreads widened and leverage declined.</w:t>
      </w:r>
    </w:p>
    <w:p>
      <w:pPr>
        <w:pStyle w:val="Compact"/>
        <w:numPr>
          <w:ilvl w:val="0"/>
          <w:numId w:val="1011"/>
        </w:numPr>
      </w:pPr>
      <w:r>
        <w:t xml:space="preserve">Continued asset-based finance fundraising; KKR’s ABF platform exceeded $90 billion of AUM in Q1.</w:t>
      </w:r>
    </w:p>
    <w:bookmarkEnd w:id="16"/>
    <w:bookmarkStart w:id="17" w:name="X9252b4b5ca2cb0c50067528faa0f071e8e04c4f"/>
    <w:p>
      <w:pPr>
        <w:pStyle w:val="Heading2"/>
      </w:pPr>
      <w:r>
        <w:t xml:space="preserve">7. Share count and buybacks could materially affect per-share growth</w:t>
      </w:r>
    </w:p>
    <w:p>
      <w:pPr>
        <w:pStyle w:val="FirstParagraph"/>
      </w:pPr>
      <w:r>
        <w:t xml:space="preserve">KKR used</w:t>
      </w:r>
      <w:r>
        <w:t xml:space="preserve"> </w:t>
      </w:r>
      <w:r>
        <w:rPr>
          <w:b/>
          <w:bCs/>
        </w:rPr>
        <w:t xml:space="preserve">$317 million</w:t>
      </w:r>
      <w:r>
        <w:t xml:space="preserve"> </w:t>
      </w:r>
      <w:r>
        <w:t xml:space="preserve">to repurchase or retire 3.5 million shares through May 1 at an average price of $91.08. It also increased its repurchase authorization by another $500 million.</w:t>
      </w:r>
    </w:p>
    <w:p>
      <w:pPr>
        <w:pStyle w:val="BodyText"/>
      </w:pPr>
      <w:r>
        <w:t xml:space="preserve">The stock traded well below its 2025 year-end level for much of Q2, making additional repurchases plausible.</w:t>
      </w:r>
    </w:p>
    <w:p>
      <w:pPr>
        <w:pStyle w:val="BodyText"/>
      </w:pPr>
      <w:r>
        <w:t xml:space="preserve">However, KKR disclosed that awards representing approximately</w:t>
      </w:r>
      <w:r>
        <w:t xml:space="preserve"> </w:t>
      </w:r>
      <w:r>
        <w:rPr>
          <w:b/>
          <w:bCs/>
        </w:rPr>
        <w:t xml:space="preserve">21 million shares vested after March 31 and would enter adjusted shares beginning in Q2</w:t>
      </w:r>
      <w:r>
        <w:t xml:space="preserve">. That is roughly a 2.3% potential increase relative to Q1’s adjusted share count before considering repurchases and other changes.</w:t>
      </w:r>
    </w:p>
    <w:p>
      <w:pPr>
        <w:pStyle w:val="BodyText"/>
      </w:pPr>
      <w:r>
        <w:t xml:space="preserve">Investors should therefore distinguish between:</w:t>
      </w:r>
    </w:p>
    <w:p>
      <w:pPr>
        <w:pStyle w:val="Compact"/>
        <w:numPr>
          <w:ilvl w:val="0"/>
          <w:numId w:val="1012"/>
        </w:numPr>
      </w:pPr>
      <w:r>
        <w:t xml:space="preserve">Absolute FRE and ANI growth.</w:t>
      </w:r>
    </w:p>
    <w:p>
      <w:pPr>
        <w:pStyle w:val="Compact"/>
        <w:numPr>
          <w:ilvl w:val="0"/>
          <w:numId w:val="1012"/>
        </w:numPr>
      </w:pPr>
      <w:r>
        <w:t xml:space="preserve">Per-share growth after vesting-related dilution.</w:t>
      </w:r>
    </w:p>
    <w:p>
      <w:pPr>
        <w:pStyle w:val="Compact"/>
        <w:numPr>
          <w:ilvl w:val="0"/>
          <w:numId w:val="1012"/>
        </w:numPr>
      </w:pPr>
      <w:r>
        <w:t xml:space="preserve">Actual open-market repurchases.</w:t>
      </w:r>
    </w:p>
    <w:p>
      <w:pPr>
        <w:pStyle w:val="Compact"/>
        <w:numPr>
          <w:ilvl w:val="0"/>
          <w:numId w:val="1012"/>
        </w:numPr>
      </w:pPr>
      <w:r>
        <w:t xml:space="preserve">Equity-award retirement activity.</w:t>
      </w:r>
    </w:p>
    <w:p>
      <w:pPr>
        <w:pStyle w:val="FirstParagraph"/>
      </w:pPr>
      <w:r>
        <w:t xml:space="preserve">A declining or broadly stable adjusted share count despite the scheduled vesting would be a positive capital-allocation signal.</w:t>
      </w:r>
    </w:p>
    <w:p>
      <w:r>
        <w:pict>
          <v:rect style="width:0;height:1.5pt" o:hralign="center" o:hrstd="t" o:hr="t"/>
        </w:pict>
      </w:r>
    </w:p>
    <w:bookmarkEnd w:id="17"/>
    <w:bookmarkStart w:id="18" w:name="what-would-constitute-a-strong-report"/>
    <w:p>
      <w:pPr>
        <w:pStyle w:val="Heading2"/>
      </w:pPr>
      <w:r>
        <w:t xml:space="preserve">What would constitute a strong report?</w:t>
      </w:r>
    </w:p>
    <w:p>
      <w:pPr>
        <w:pStyle w:val="Compact"/>
        <w:numPr>
          <w:ilvl w:val="0"/>
          <w:numId w:val="1013"/>
        </w:numPr>
      </w:pPr>
      <w:r>
        <w:t xml:space="preserve">ANI per share above the roughly $1.43 consensus.</w:t>
      </w:r>
    </w:p>
    <w:p>
      <w:pPr>
        <w:pStyle w:val="Compact"/>
        <w:numPr>
          <w:ilvl w:val="0"/>
          <w:numId w:val="1013"/>
        </w:numPr>
      </w:pPr>
      <w:r>
        <w:t xml:space="preserve">FRE per share growing at or above 20% year over year.</w:t>
      </w:r>
    </w:p>
    <w:p>
      <w:pPr>
        <w:pStyle w:val="Compact"/>
        <w:numPr>
          <w:ilvl w:val="0"/>
          <w:numId w:val="1013"/>
        </w:numPr>
      </w:pPr>
      <w:r>
        <w:t xml:space="preserve">Organic management-fee growth near 20%.</w:t>
      </w:r>
    </w:p>
    <w:p>
      <w:pPr>
        <w:pStyle w:val="Compact"/>
        <w:numPr>
          <w:ilvl w:val="0"/>
          <w:numId w:val="1013"/>
        </w:numPr>
      </w:pPr>
      <w:r>
        <w:t xml:space="preserve">Fee-paying AUM growth that remains strong after excluding Arctos.</w:t>
      </w:r>
    </w:p>
    <w:p>
      <w:pPr>
        <w:pStyle w:val="Compact"/>
        <w:numPr>
          <w:ilvl w:val="0"/>
          <w:numId w:val="1013"/>
        </w:numPr>
      </w:pPr>
      <w:r>
        <w:t xml:space="preserve">Healthy fundraising across infrastructure, ABF, Asia and wealth.</w:t>
      </w:r>
    </w:p>
    <w:p>
      <w:pPr>
        <w:pStyle w:val="Compact"/>
        <w:numPr>
          <w:ilvl w:val="0"/>
          <w:numId w:val="1013"/>
        </w:numPr>
      </w:pPr>
      <w:r>
        <w:t xml:space="preserve">A larger or more advanced realization pipeline.</w:t>
      </w:r>
    </w:p>
    <w:p>
      <w:pPr>
        <w:pStyle w:val="Compact"/>
        <w:numPr>
          <w:ilvl w:val="0"/>
          <w:numId w:val="1013"/>
        </w:numPr>
      </w:pPr>
      <w:r>
        <w:t xml:space="preserve">Reaffirmation of 20%-plus FRE growth and the Strategic Holdings target.</w:t>
      </w:r>
    </w:p>
    <w:p>
      <w:pPr>
        <w:pStyle w:val="Compact"/>
        <w:numPr>
          <w:ilvl w:val="0"/>
          <w:numId w:val="1013"/>
        </w:numPr>
      </w:pPr>
      <w:r>
        <w:t xml:space="preserve">Evidence that insurance profitability is beginning to improve.</w:t>
      </w:r>
    </w:p>
    <w:p>
      <w:pPr>
        <w:pStyle w:val="Compact"/>
        <w:numPr>
          <w:ilvl w:val="0"/>
          <w:numId w:val="1013"/>
        </w:numPr>
      </w:pPr>
      <w:r>
        <w:t xml:space="preserve">Meaningful Q2 share repurchases.</w:t>
      </w:r>
    </w:p>
    <w:bookmarkEnd w:id="18"/>
    <w:bookmarkStart w:id="19" w:name="what-could-disappoint"/>
    <w:p>
      <w:pPr>
        <w:pStyle w:val="Heading2"/>
      </w:pPr>
      <w:r>
        <w:t xml:space="preserve">What could disappoint?</w:t>
      </w:r>
    </w:p>
    <w:p>
      <w:pPr>
        <w:pStyle w:val="Compact"/>
        <w:numPr>
          <w:ilvl w:val="0"/>
          <w:numId w:val="1014"/>
        </w:numPr>
      </w:pPr>
      <w:r>
        <w:t xml:space="preserve">AUM growth driven primarily by Arctos and market appreciation.</w:t>
      </w:r>
    </w:p>
    <w:p>
      <w:pPr>
        <w:pStyle w:val="Compact"/>
        <w:numPr>
          <w:ilvl w:val="0"/>
          <w:numId w:val="1014"/>
        </w:numPr>
      </w:pPr>
      <w:r>
        <w:t xml:space="preserve">A material slowdown in organic fundraising or K-Series flows.</w:t>
      </w:r>
    </w:p>
    <w:p>
      <w:pPr>
        <w:pStyle w:val="Compact"/>
        <w:numPr>
          <w:ilvl w:val="0"/>
          <w:numId w:val="1014"/>
        </w:numPr>
      </w:pPr>
      <w:r>
        <w:t xml:space="preserve">Additional monetization delays and weaker full-year ANI commentary.</w:t>
      </w:r>
    </w:p>
    <w:p>
      <w:pPr>
        <w:pStyle w:val="Compact"/>
        <w:numPr>
          <w:ilvl w:val="0"/>
          <w:numId w:val="1014"/>
        </w:numPr>
      </w:pPr>
      <w:r>
        <w:t xml:space="preserve">Continued stagnation in insurance operating earnings.</w:t>
      </w:r>
    </w:p>
    <w:p>
      <w:pPr>
        <w:pStyle w:val="Compact"/>
        <w:numPr>
          <w:ilvl w:val="0"/>
          <w:numId w:val="1014"/>
        </w:numPr>
      </w:pPr>
      <w:r>
        <w:t xml:space="preserve">Pressure on the 69% FRE margin.</w:t>
      </w:r>
    </w:p>
    <w:p>
      <w:pPr>
        <w:pStyle w:val="Compact"/>
        <w:numPr>
          <w:ilvl w:val="0"/>
          <w:numId w:val="1014"/>
        </w:numPr>
      </w:pPr>
      <w:r>
        <w:t xml:space="preserve">A meaningful increase in adjusted shares despite buybacks.</w:t>
      </w:r>
    </w:p>
    <w:p>
      <w:pPr>
        <w:pStyle w:val="Compact"/>
        <w:numPr>
          <w:ilvl w:val="0"/>
          <w:numId w:val="1014"/>
        </w:numPr>
      </w:pPr>
      <w:r>
        <w:t xml:space="preserve">Reduced confidence in the $350 million Strategic Holdings target.</w:t>
      </w:r>
    </w:p>
    <w:bookmarkEnd w:id="19"/>
    <w:bookmarkStart w:id="20" w:name="bottom-line"/>
    <w:p>
      <w:pPr>
        <w:pStyle w:val="Heading2"/>
      </w:pPr>
      <w:r>
        <w:t xml:space="preserve">Bottom line</w:t>
      </w:r>
    </w:p>
    <w:p>
      <w:pPr>
        <w:pStyle w:val="FirstParagraph"/>
      </w:pPr>
      <w:r>
        <w:t xml:space="preserve">The Q2 headline EPS number is only one part of the setup. The more important test is whether KKR can preserve</w:t>
      </w:r>
      <w:r>
        <w:t xml:space="preserve"> </w:t>
      </w:r>
      <w:r>
        <w:rPr>
          <w:b/>
          <w:bCs/>
        </w:rPr>
        <w:t xml:space="preserve">roughly 20% recurring earnings growth</w:t>
      </w:r>
      <w:r>
        <w:t xml:space="preserve"> </w:t>
      </w:r>
      <w:r>
        <w:t xml:space="preserve">while rebuilding confidence in monetization timing.</w:t>
      </w:r>
    </w:p>
    <w:p>
      <w:pPr>
        <w:pStyle w:val="BodyText"/>
      </w:pPr>
      <w:r>
        <w:t xml:space="preserve">The most constructive outcome would be a quarter showing durable fee growth, healthy organic fee-paying AUM, stronger realization visibility and disciplined buybacks. Conversely, an EPS beat driven mainly by carried interest—paired with weaker fundraising, insurance economics or forward guidance—would be lower quality and may not resolve the market’s concerns.</w:t>
      </w:r>
    </w:p>
    <w:bookmarkEnd w:id="20"/>
    <w:bookmarkEnd w:id="2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2026-07-29T18:31:30Z</dcterms:created>
  <dcterms:modified xsi:type="dcterms:W3CDTF">2026-07-29T18:31:30Z</dcterms:modified>
</cp:coreProperties>
</file>

<file path=docProps/custom.xml><?xml version="1.0" encoding="utf-8"?>
<Properties xmlns="http://schemas.openxmlformats.org/officeDocument/2006/custom-properties" xmlns:vt="http://schemas.openxmlformats.org/officeDocument/2006/docPropsVTypes"/>
</file>