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kr-earnings-predictions--2026-07-30"/>
    <w:p>
      <w:pPr>
        <w:pStyle w:val="Heading1"/>
      </w:pPr>
      <w:r>
        <w:t xml:space="preserve">KKR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income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 vs. cons $1.43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 per adjusted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~$1.18 vs. cons $1.17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Assets under management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~$794B vs. cons $788B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net income per share / monetization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~$6.85 vs. cons $6.95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Strategic Holdings operating earnings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~$350M vs. cons $350M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reported EPS beat (~$1.48 vs.</w:t>
            </w:r>
            <w:r>
              <w:t xml:space="preserve"> </w:t>
            </w:r>
            <m:oMath>
              <m:r>
                <m:t>1.43</m:t>
              </m:r>
              <m:r>
                <m:rPr>
                  <m:sty m:val="p"/>
                </m:rPr>
                <m:t>)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n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A</m:t>
              </m:r>
              <m:r>
                <m:t>N</m:t>
              </m:r>
              <m:r>
                <m:t>I</m:t>
              </m:r>
              <m:r>
                <m:t>r</m:t>
              </m:r>
              <m:r>
                <m:t>e</m:t>
              </m:r>
              <m:r>
                <m:t>s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6.85 vs. $6.95 consensus): delayed realizations shift earnings power into 2027, prompting out-period estimate cuts despite resilient FRE and AUM.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2026-07-29T18:30:11Z</dcterms:created>
  <dcterms:modified xsi:type="dcterms:W3CDTF">2026-07-29T18:30:11Z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