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kkr-2q26-earnings-preview"/>
    <w:p>
      <w:pPr>
        <w:pStyle w:val="Heading1"/>
      </w:pPr>
      <w:r>
        <w:t xml:space="preserve">KKR 2Q26 Earnings Preview</w:t>
      </w:r>
    </w:p>
    <w:p>
      <w:pPr>
        <w:pStyle w:val="FirstParagraph"/>
      </w:pPr>
      <w:r>
        <w:rPr>
          <w:b/>
          <w:bCs/>
        </w:rPr>
        <w:t xml:space="preserve">Event:</w:t>
      </w:r>
      <w:r>
        <w:t xml:space="preserve"> </w:t>
      </w:r>
      <w:r>
        <w:t xml:space="preserve">Thursday, July 30, 2026, before the U.S. market open</w:t>
      </w:r>
      <w:r>
        <w:br/>
      </w:r>
      <w:r>
        <w:rPr>
          <w:b/>
          <w:bCs/>
        </w:rPr>
        <w:t xml:space="preserve">Focus:</w:t>
      </w:r>
      <w:r>
        <w:t xml:space="preserve"> </w:t>
      </w:r>
      <w:r>
        <w:t xml:space="preserve">The report is likely to hinge less on the headline EPS print than on whether KKR sustains its fee-growth trajectory, converts a strong capital-markets backdrop into realizations, and preserves confidence in its full-year earnings-power narrative.</w:t>
      </w:r>
    </w:p>
    <w:bookmarkStart w:id="9" w:name="investor-takeaway"/>
    <w:p>
      <w:pPr>
        <w:pStyle w:val="Heading2"/>
      </w:pPr>
      <w:r>
        <w:t xml:space="preserve">Investor takeaway</w:t>
      </w:r>
    </w:p>
    <w:p>
      <w:pPr>
        <w:pStyle w:val="FirstParagraph"/>
      </w:pPr>
      <w:r>
        <w:t xml:space="preserve">KKR enters 2Q26 with a</w:t>
      </w:r>
      <w:r>
        <w:t xml:space="preserve"> </w:t>
      </w:r>
      <w:r>
        <w:rPr>
          <w:b/>
          <w:bCs/>
        </w:rPr>
        <w:t xml:space="preserve">constructive operating setup but a higher bar</w:t>
      </w:r>
      <w:r>
        <w:t xml:space="preserve">. The stock closed at</w:t>
      </w:r>
      <w:r>
        <w:t xml:space="preserve"> </w:t>
      </w:r>
      <m:oMath>
        <m:r>
          <m:t>101.25</m:t>
        </m:r>
        <m:r>
          <m:t>o</m:t>
        </m:r>
        <m:r>
          <m:t>n</m:t>
        </m:r>
        <m:r>
          <m:t>J</m:t>
        </m:r>
        <m:r>
          <m:t>u</m:t>
        </m:r>
        <m:r>
          <m:t>l</m:t>
        </m:r>
        <m:r>
          <m:t>y</m:t>
        </m:r>
        <m:r>
          <m:t>29</m:t>
        </m:r>
        <m:r>
          <m:rPr>
            <m:sty m:val="p"/>
          </m:rPr>
          <m:t>*</m:t>
        </m:r>
        <m:r>
          <m:rPr>
            <m:sty m:val="p"/>
          </m:rPr>
          <m:t>*</m:t>
        </m:r>
        <m:r>
          <m:rPr>
            <m:sty m:val="p"/>
          </m:rPr>
          <m:t>,</m:t>
        </m:r>
        <m:r>
          <m:t>u</m:t>
        </m:r>
        <m:r>
          <m:t>p</m:t>
        </m:r>
        <m:r>
          <m:t>r</m:t>
        </m:r>
        <m:r>
          <m:t>o</m:t>
        </m:r>
        <m:r>
          <m:t>u</m:t>
        </m:r>
        <m:r>
          <m:t>g</m:t>
        </m:r>
        <m:r>
          <m:t>h</m:t>
        </m:r>
        <m:r>
          <m:t>l</m:t>
        </m:r>
        <m:r>
          <m:t>y</m:t>
        </m:r>
        <m:r>
          <m:rPr>
            <m:sty m:val="p"/>
          </m:rPr>
          <m:t>*</m:t>
        </m:r>
        <m:r>
          <m:rPr>
            <m:sty m:val="p"/>
          </m:rPr>
          <m:t>*</m:t>
        </m:r>
        <m:r>
          <m:t>10</m:t>
        </m:r>
      </m:oMath>
      <w:r>
        <w:rPr>
          <w:b/>
          <w:bCs/>
        </w:rPr>
        <w:t xml:space="preserve">1.43 of EPS</w:t>
      </w:r>
      <w:r>
        <w:t xml:space="preserve"> </w:t>
      </w:r>
      <w:r>
        <w:t xml:space="preserve">and approximately</w:t>
      </w:r>
      <w:r>
        <w:t xml:space="preserve"> </w:t>
      </w:r>
      <w:r>
        <w:rPr>
          <w:b/>
          <w:bCs/>
        </w:rPr>
        <w:t xml:space="preserve">$788 billion of AUM</w:t>
      </w:r>
      <w:r>
        <w:t xml:space="preserve">. That compares with 1Q26 ANI per share of $1.39 and AUM of $758 billion.</w:t>
      </w:r>
    </w:p>
    <w:p>
      <w:pPr>
        <w:pStyle w:val="BodyText"/>
      </w:pPr>
      <w:r>
        <w:t xml:space="preserve">The core bull case remains intact: KKR has built a broader, more recurring earnings base across private equity, real assets, credit, capital markets, and Global Atlantic. At the end of 1Q26,</w:t>
      </w:r>
      <w:r>
        <w:t xml:space="preserve"> </w:t>
      </w:r>
      <w:r>
        <w:rPr>
          <w:b/>
          <w:bCs/>
        </w:rPr>
        <w:t xml:space="preserve">85% of total segment earnings came from fee-related earnings, insurance operating earnings, and strategic-holdings operating earnings</w:t>
      </w:r>
      <w:r>
        <w:t xml:space="preserve">, rather than realization-driven investing income. Its long-duration capital base, $125 billion of uncalled commitments, and sizable embedded carry provide substantial medium-term earnings visibility.</w:t>
      </w:r>
    </w:p>
    <w:p>
      <w:pPr>
        <w:pStyle w:val="BodyText"/>
      </w:pPr>
      <w:r>
        <w:t xml:space="preserve">However, the critical near-term issue is</w:t>
      </w:r>
      <w:r>
        <w:t xml:space="preserve"> </w:t>
      </w:r>
      <w:r>
        <w:rPr>
          <w:b/>
          <w:bCs/>
        </w:rPr>
        <w:t xml:space="preserve">monetization timing</w:t>
      </w:r>
      <w:r>
        <w:t xml:space="preserve">. In May, management said that, despite healthy exits and a record disclosed forward monetization pipeline, it had modestly less visibility into reaching its prior</w:t>
      </w:r>
      <w:r>
        <w:t xml:space="preserve"> </w:t>
      </w:r>
      <w:r>
        <w:rPr>
          <w:b/>
          <w:bCs/>
        </w:rPr>
        <w:t xml:space="preserve">$7+ ANI-per-share</w:t>
      </w:r>
      <w:r>
        <w:t xml:space="preserve"> </w:t>
      </w:r>
      <w:r>
        <w:t xml:space="preserve">aspiration for 2026 because market uncertainty could delay strategic-sale processes. The July report needs to demonstrate that this was a timing issue—not an emerging constraint on realizations or portfolio valuations.</w:t>
      </w:r>
    </w:p>
    <w:p>
      <w:r>
        <w:pict>
          <v:rect style="width:0;height:1.5pt" o:hralign="center" o:hrstd="t" o:hr="t"/>
        </w:pict>
      </w:r>
    </w:p>
    <w:bookmarkEnd w:id="9"/>
    <w:bookmarkStart w:id="10" w:name="what-the-street-is-looking-for"/>
    <w:p>
      <w:pPr>
        <w:pStyle w:val="Heading2"/>
      </w:pPr>
      <w:r>
        <w:t xml:space="preserve">What the Street is looking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2Q25 actual</w:t>
            </w:r>
          </w:p>
        </w:tc>
        <w:tc>
          <w:tcPr/>
          <w:p>
            <w:pPr>
              <w:pStyle w:val="Compact"/>
            </w:pPr>
            <w:r>
              <w:t xml:space="preserve">2Q26 focus / expectation</w:t>
            </w:r>
          </w:p>
        </w:tc>
      </w:tr>
      <w:tr>
        <w:tc>
          <w:tcPr/>
          <w:p>
            <w:pPr>
              <w:pStyle w:val="Compact"/>
            </w:pPr>
            <w:r>
              <w:t xml:space="preserve">Adjusted net income per share</w:t>
            </w:r>
          </w:p>
        </w:tc>
        <w:tc>
          <w:tcPr/>
          <w:p>
            <w:pPr>
              <w:pStyle w:val="Compact"/>
              <w:jc w:val="right"/>
            </w:pPr>
            <w:r>
              <w:t xml:space="preserve">$1.39</w:t>
            </w:r>
          </w:p>
        </w:tc>
        <w:tc>
          <w:tcPr/>
          <w:p>
            <w:pPr>
              <w:pStyle w:val="Compact"/>
              <w:jc w:val="right"/>
            </w:pPr>
            <w:r>
              <w:t xml:space="preserve">$1.18</w:t>
            </w:r>
          </w:p>
        </w:tc>
        <w:tc>
          <w:tcPr/>
          <w:p>
            <w:pPr>
              <w:pStyle w:val="Compact"/>
            </w:pPr>
            <w:r>
              <w:rPr>
                <w:b/>
                <w:bCs/>
              </w:rPr>
              <w:t xml:space="preserve">$1.43 Street EPS</w:t>
            </w:r>
          </w:p>
        </w:tc>
      </w:tr>
      <w:tr>
        <w:tc>
          <w:tcPr/>
          <w:p>
            <w:pPr>
              <w:pStyle w:val="Compact"/>
            </w:pPr>
            <w:r>
              <w:t xml:space="preserve">Fee-related earnings per share</w:t>
            </w:r>
          </w:p>
        </w:tc>
        <w:tc>
          <w:tcPr/>
          <w:p>
            <w:pPr>
              <w:pStyle w:val="Compact"/>
              <w:jc w:val="right"/>
            </w:pPr>
            <w:r>
              <w:t xml:space="preserve">$1.13</w:t>
            </w:r>
          </w:p>
        </w:tc>
        <w:tc>
          <w:tcPr/>
          <w:p>
            <w:pPr>
              <w:pStyle w:val="Compact"/>
              <w:jc w:val="right"/>
            </w:pPr>
            <w:r>
              <w:t xml:space="preserve">$0.98</w:t>
            </w:r>
          </w:p>
        </w:tc>
        <w:tc>
          <w:tcPr/>
          <w:p>
            <w:pPr>
              <w:pStyle w:val="Compact"/>
            </w:pPr>
            <w:r>
              <w:t xml:space="preserve">Continued double-digit growth</w:t>
            </w:r>
          </w:p>
        </w:tc>
      </w:tr>
      <w:tr>
        <w:tc>
          <w:tcPr/>
          <w:p>
            <w:pPr>
              <w:pStyle w:val="Compact"/>
            </w:pPr>
            <w:r>
              <w:t xml:space="preserve">Total operating earnings per share</w:t>
            </w:r>
          </w:p>
        </w:tc>
        <w:tc>
          <w:tcPr/>
          <w:p>
            <w:pPr>
              <w:pStyle w:val="Compact"/>
              <w:jc w:val="right"/>
            </w:pPr>
            <w:r>
              <w:t xml:space="preserve">$1.47</w:t>
            </w:r>
          </w:p>
        </w:tc>
        <w:tc>
          <w:tcPr/>
          <w:p>
            <w:pPr>
              <w:pStyle w:val="Compact"/>
              <w:jc w:val="right"/>
            </w:pPr>
            <w:r>
              <w:t xml:space="preserve">$1.33</w:t>
            </w:r>
          </w:p>
        </w:tc>
        <w:tc>
          <w:tcPr/>
          <w:p>
            <w:pPr>
              <w:pStyle w:val="Compact"/>
            </w:pPr>
            <w:r>
              <w:t xml:space="preserve">Growth led by FRE and Strategic Holdings</w:t>
            </w:r>
          </w:p>
        </w:tc>
      </w:tr>
      <w:tr>
        <w:tc>
          <w:tcPr/>
          <w:p>
            <w:pPr>
              <w:pStyle w:val="Compact"/>
            </w:pPr>
            <w:r>
              <w:t xml:space="preserve">AUM</w:t>
            </w:r>
          </w:p>
        </w:tc>
        <w:tc>
          <w:tcPr/>
          <w:p>
            <w:pPr>
              <w:pStyle w:val="Compact"/>
              <w:jc w:val="right"/>
            </w:pPr>
            <w:r>
              <w:t xml:space="preserve">$758B</w:t>
            </w:r>
          </w:p>
        </w:tc>
        <w:tc>
          <w:tcPr/>
          <w:p>
            <w:pPr>
              <w:pStyle w:val="Compact"/>
              <w:jc w:val="right"/>
            </w:pPr>
            <w:r>
              <w:t xml:space="preserve">$686B</w:t>
            </w:r>
          </w:p>
        </w:tc>
        <w:tc>
          <w:tcPr/>
          <w:p>
            <w:pPr>
              <w:pStyle w:val="Compact"/>
            </w:pPr>
            <w:r>
              <w:rPr>
                <w:b/>
                <w:bCs/>
              </w:rPr>
              <w:t xml:space="preserve">~$788B Street expectation</w:t>
            </w:r>
          </w:p>
        </w:tc>
      </w:tr>
      <w:tr>
        <w:tc>
          <w:tcPr/>
          <w:p>
            <w:pPr>
              <w:pStyle w:val="Compact"/>
            </w:pPr>
            <w:r>
              <w:t xml:space="preserve">Fee-paying AUM</w:t>
            </w:r>
          </w:p>
        </w:tc>
        <w:tc>
          <w:tcPr/>
          <w:p>
            <w:pPr>
              <w:pStyle w:val="Compact"/>
              <w:jc w:val="right"/>
            </w:pPr>
            <w:r>
              <w:t xml:space="preserve">$615B</w:t>
            </w:r>
          </w:p>
        </w:tc>
        <w:tc>
          <w:tcPr/>
          <w:p>
            <w:pPr>
              <w:pStyle w:val="Compact"/>
              <w:jc w:val="right"/>
            </w:pPr>
            <w:r>
              <w:t xml:space="preserve">$556B</w:t>
            </w:r>
          </w:p>
        </w:tc>
        <w:tc>
          <w:tcPr/>
          <w:p>
            <w:pPr>
              <w:pStyle w:val="Compact"/>
            </w:pPr>
            <w:r>
              <w:t xml:space="preserve">Organic fundraising and fee activation</w:t>
            </w:r>
          </w:p>
        </w:tc>
      </w:tr>
      <w:tr>
        <w:tc>
          <w:tcPr/>
          <w:p>
            <w:pPr>
              <w:pStyle w:val="Compact"/>
            </w:pPr>
            <w:r>
              <w:t xml:space="preserve">New capital raised</w:t>
            </w:r>
          </w:p>
        </w:tc>
        <w:tc>
          <w:tcPr/>
          <w:p>
            <w:pPr>
              <w:pStyle w:val="Compact"/>
              <w:jc w:val="right"/>
            </w:pPr>
            <w:r>
              <w:t xml:space="preserve">$28B</w:t>
            </w:r>
          </w:p>
        </w:tc>
        <w:tc>
          <w:tcPr/>
          <w:p>
            <w:pPr>
              <w:pStyle w:val="Compact"/>
              <w:jc w:val="right"/>
            </w:pPr>
            <w:r>
              <w:t xml:space="preserve">$28B</w:t>
            </w:r>
          </w:p>
        </w:tc>
        <w:tc>
          <w:tcPr/>
          <w:p>
            <w:pPr>
              <w:pStyle w:val="Compact"/>
            </w:pPr>
            <w:r>
              <w:t xml:space="preserve">Evidence of resilient breadth across strategies</w:t>
            </w:r>
          </w:p>
        </w:tc>
      </w:tr>
      <w:tr>
        <w:tc>
          <w:tcPr/>
          <w:p>
            <w:pPr>
              <w:pStyle w:val="Compact"/>
            </w:pPr>
            <w:r>
              <w:t xml:space="preserve">Capital invested</w:t>
            </w:r>
          </w:p>
        </w:tc>
        <w:tc>
          <w:tcPr/>
          <w:p>
            <w:pPr>
              <w:pStyle w:val="Compact"/>
              <w:jc w:val="right"/>
            </w:pPr>
            <w:r>
              <w:t xml:space="preserve">$22B</w:t>
            </w:r>
          </w:p>
        </w:tc>
        <w:tc>
          <w:tcPr/>
          <w:p>
            <w:pPr>
              <w:pStyle w:val="Compact"/>
              <w:jc w:val="right"/>
            </w:pPr>
            <w:r>
              <w:t xml:space="preserve">$18B</w:t>
            </w:r>
          </w:p>
        </w:tc>
        <w:tc>
          <w:tcPr/>
          <w:p>
            <w:pPr>
              <w:pStyle w:val="Compact"/>
            </w:pPr>
            <w:r>
              <w:t xml:space="preserve">Continued deployment into attractive opportunities</w:t>
            </w:r>
          </w:p>
        </w:tc>
      </w:tr>
    </w:tbl>
    <w:p>
      <w:pPr>
        <w:pStyle w:val="BodyText"/>
      </w:pPr>
      <w:r>
        <w:rPr>
          <w:i/>
          <w:iCs/>
        </w:rPr>
        <w:t xml:space="preserve">Note: Street EPS and AUM expectations are based on market commentary published ahead of the report.</w:t>
      </w:r>
    </w:p>
    <w:p>
      <w:pPr>
        <w:pStyle w:val="BodyText"/>
      </w:pPr>
      <w:r>
        <w:t xml:space="preserve">A $1.43 EPS result would imply solid year-over-year growth, but the quality of the beat or miss will matter considerably. Investors should distinguish between:</w:t>
      </w:r>
    </w:p>
    <w:p>
      <w:pPr>
        <w:pStyle w:val="Compact"/>
        <w:numPr>
          <w:ilvl w:val="0"/>
          <w:numId w:val="1001"/>
        </w:numPr>
      </w:pPr>
      <w:r>
        <w:rPr>
          <w:b/>
          <w:bCs/>
        </w:rPr>
        <w:t xml:space="preserve">Durable earnings:</w:t>
      </w:r>
      <w:r>
        <w:t xml:space="preserve"> </w:t>
      </w:r>
      <w:r>
        <w:t xml:space="preserve">FRE, insurance operating earnings, and Strategic Holdings operating earnings; and</w:t>
      </w:r>
    </w:p>
    <w:p>
      <w:pPr>
        <w:pStyle w:val="Compact"/>
        <w:numPr>
          <w:ilvl w:val="0"/>
          <w:numId w:val="1001"/>
        </w:numPr>
      </w:pPr>
      <w:r>
        <w:rPr>
          <w:b/>
          <w:bCs/>
        </w:rPr>
        <w:t xml:space="preserve">More variable earnings:</w:t>
      </w:r>
      <w:r>
        <w:t xml:space="preserve"> </w:t>
      </w:r>
      <w:r>
        <w:t xml:space="preserve">realized carry, realized investment income, and capital-markets fees.</w:t>
      </w:r>
    </w:p>
    <w:p>
      <w:pPr>
        <w:pStyle w:val="FirstParagraph"/>
      </w:pPr>
      <w:r>
        <w:t xml:space="preserve">A modest EPS miss caused by timing of a realization may be manageable if fee-related and insurance economics remain on track. Conversely, a nominal EPS beat accompanied by weak fundraising, pressure on fee margins, or reduced forward realization visibility would be less reassuring.</w:t>
      </w:r>
    </w:p>
    <w:p>
      <w:r>
        <w:pict>
          <v:rect style="width:0;height:1.5pt" o:hralign="center" o:hrstd="t" o:hr="t"/>
        </w:pict>
      </w:r>
    </w:p>
    <w:bookmarkEnd w:id="10"/>
    <w:bookmarkStart w:id="13" w:name="Xd82ca04ce81c0589cfc89a6ddef0a401c4d9fc8"/>
    <w:p>
      <w:pPr>
        <w:pStyle w:val="Heading2"/>
      </w:pPr>
      <w:r>
        <w:t xml:space="preserve">The central debate: can recurring earnings keep compounding?</w:t>
      </w:r>
    </w:p>
    <w:bookmarkStart w:id="11" w:name="X14ad4f6f26be84c020f3bdae4cc251b87b6fb12"/>
    <w:p>
      <w:pPr>
        <w:pStyle w:val="Heading3"/>
      </w:pPr>
      <w:r>
        <w:t xml:space="preserve">1. Fee-related earnings should remain the primary valuation driver</w:t>
      </w:r>
    </w:p>
    <w:p>
      <w:pPr>
        <w:pStyle w:val="FirstParagraph"/>
      </w:pPr>
      <w:r>
        <w:t xml:space="preserve">KKR generated</w:t>
      </w:r>
      <w:r>
        <w:t xml:space="preserve"> </w:t>
      </w:r>
      <w:r>
        <w:rPr>
          <w:b/>
          <w:bCs/>
        </w:rPr>
        <w:t xml:space="preserve">$1.02 billion of FRE in 1Q26</w:t>
      </w:r>
      <w:r>
        <w:t xml:space="preserve">, up 24% year over year, on management-fee growth of 30%. Excluding catch-up fees, management said fee growth was still slightly above 20%. The firm maintained a</w:t>
      </w:r>
      <w:r>
        <w:t xml:space="preserve"> </w:t>
      </w:r>
      <w:r>
        <w:rPr>
          <w:b/>
          <w:bCs/>
        </w:rPr>
        <w:t xml:space="preserve">69% FRE margin</w:t>
      </w:r>
      <w:r>
        <w:t xml:space="preserve">, demonstrating that incremental fee revenue has been translating efficiently into earnings.</w:t>
      </w:r>
    </w:p>
    <w:p>
      <w:pPr>
        <w:pStyle w:val="BodyText"/>
      </w:pPr>
      <w:r>
        <w:t xml:space="preserve">The structural inputs remain favorable:</w:t>
      </w:r>
    </w:p>
    <w:p>
      <w:pPr>
        <w:pStyle w:val="Compact"/>
        <w:numPr>
          <w:ilvl w:val="0"/>
          <w:numId w:val="1002"/>
        </w:numPr>
      </w:pPr>
      <w:r>
        <w:rPr>
          <w:b/>
          <w:bCs/>
        </w:rPr>
        <w:t xml:space="preserve">FPAUM was $615 billion</w:t>
      </w:r>
      <w:r>
        <w:t xml:space="preserve"> </w:t>
      </w:r>
      <w:r>
        <w:t xml:space="preserve">at March 31, up 17% year over year.</w:t>
      </w:r>
    </w:p>
    <w:p>
      <w:pPr>
        <w:pStyle w:val="Compact"/>
        <w:numPr>
          <w:ilvl w:val="0"/>
          <w:numId w:val="1002"/>
        </w:numPr>
      </w:pPr>
      <w:r>
        <w:t xml:space="preserve">KKR had</w:t>
      </w:r>
      <w:r>
        <w:t xml:space="preserve"> </w:t>
      </w:r>
      <w:r>
        <w:rPr>
          <w:b/>
          <w:bCs/>
        </w:rPr>
        <w:t xml:space="preserve">$64 billion of committed capital not yet paying fees</w:t>
      </w:r>
      <w:r>
        <w:t xml:space="preserve">, with an approximately</w:t>
      </w:r>
      <w:r>
        <w:t xml:space="preserve"> </w:t>
      </w:r>
      <w:r>
        <w:rPr>
          <w:b/>
          <w:bCs/>
        </w:rPr>
        <w:t xml:space="preserve">80 bp weighted-average management-fee rate</w:t>
      </w:r>
      <w:r>
        <w:t xml:space="preserve"> </w:t>
      </w:r>
      <w:r>
        <w:t xml:space="preserve">once activated.</w:t>
      </w:r>
    </w:p>
    <w:p>
      <w:pPr>
        <w:pStyle w:val="Compact"/>
        <w:numPr>
          <w:ilvl w:val="0"/>
          <w:numId w:val="1002"/>
        </w:numPr>
      </w:pPr>
      <w:r>
        <w:t xml:space="preserve">The firm’s fee base is diversified: private equity, real assets, and credit each represented roughly one-third of trailing management fees.</w:t>
      </w:r>
    </w:p>
    <w:p>
      <w:pPr>
        <w:pStyle w:val="Compact"/>
        <w:numPr>
          <w:ilvl w:val="0"/>
          <w:numId w:val="1002"/>
        </w:numPr>
      </w:pPr>
      <w:r>
        <w:t xml:space="preserve">Arctos closed in early May, adding approximately</w:t>
      </w:r>
      <w:r>
        <w:t xml:space="preserve"> </w:t>
      </w:r>
      <m:oMath>
        <m:r>
          <m:t>16</m:t>
        </m:r>
        <m:r>
          <m:t>b</m:t>
        </m:r>
        <m:r>
          <m:t>i</m:t>
        </m:r>
        <m:r>
          <m:t>l</m:t>
        </m:r>
        <m:r>
          <m:t>l</m:t>
        </m:r>
        <m:r>
          <m:t>i</m:t>
        </m:r>
        <m:r>
          <m:t>o</m:t>
        </m:r>
        <m:r>
          <m:t>n</m:t>
        </m:r>
        <m:r>
          <m:t>o</m:t>
        </m:r>
        <m:r>
          <m:t>f</m:t>
        </m:r>
        <m:r>
          <m:t>A</m:t>
        </m:r>
        <m:r>
          <m:t>U</m:t>
        </m:r>
        <m:r>
          <m:t>M</m:t>
        </m:r>
        <m:r>
          <m:rPr>
            <m:sty m:val="p"/>
          </m:rPr>
          <m:t>*</m:t>
        </m:r>
        <m:r>
          <m:rPr>
            <m:sty m:val="p"/>
          </m:rPr>
          <m:t>*</m:t>
        </m:r>
        <m:r>
          <m:t>a</m:t>
        </m:r>
        <m:r>
          <m:t>n</m:t>
        </m:r>
        <m:r>
          <m:t>d</m:t>
        </m:r>
        <m:r>
          <m:rPr>
            <m:sty m:val="p"/>
          </m:rPr>
          <m:t>*</m:t>
        </m:r>
        <m:r>
          <m:rPr>
            <m:sty m:val="p"/>
          </m:rPr>
          <m:t>*</m:t>
        </m:r>
      </m:oMath>
      <w:r>
        <w:rPr>
          <w:b/>
          <w:bCs/>
        </w:rPr>
        <w:t xml:space="preserve">10 billion of fee-paying AUM</w:t>
      </w:r>
      <w:r>
        <w:t xml:space="preserve">, though the degree and timing of its contribution to 2Q results should be clarified.</w:t>
      </w:r>
    </w:p>
    <w:p>
      <w:pPr>
        <w:pStyle w:val="FirstParagraph"/>
      </w:pPr>
      <w:r>
        <w:rPr>
          <w:b/>
          <w:bCs/>
        </w:rPr>
        <w:t xml:space="preserve">What matters in 2Q:</w:t>
      </w:r>
      <w:r>
        <w:t xml:space="preserve"> </w:t>
      </w:r>
      <w:r>
        <w:t xml:space="preserve">management-fee growth, FRE margin, FPAUM growth, and whether fee activation offsets a potentially more moderate quarter for private-wealth inflows.</w:t>
      </w:r>
    </w:p>
    <w:p>
      <w:r>
        <w:pict>
          <v:rect style="width:0;height:1.5pt" o:hralign="center" o:hrstd="t" o:hr="t"/>
        </w:pict>
      </w:r>
    </w:p>
    <w:bookmarkEnd w:id="11"/>
    <w:bookmarkStart w:id="12" w:name="X3cef9785a0a9eb2eb6c62556d527a4b8257b278"/>
    <w:p>
      <w:pPr>
        <w:pStyle w:val="Heading3"/>
      </w:pPr>
      <w:r>
        <w:t xml:space="preserve">2. Fundraising breadth—not flagship fundraising alone—is the key signal</w:t>
      </w:r>
    </w:p>
    <w:p>
      <w:pPr>
        <w:pStyle w:val="FirstParagraph"/>
      </w:pPr>
      <w:r>
        <w:t xml:space="preserve">KKR raised</w:t>
      </w:r>
      <w:r>
        <w:t xml:space="preserve"> </w:t>
      </w:r>
      <w:r>
        <w:rPr>
          <w:b/>
          <w:bCs/>
        </w:rPr>
        <w:t xml:space="preserve">$127 billion over the 12 months through 1Q26</w:t>
      </w:r>
      <w:r>
        <w:t xml:space="preserve">, including $28 billion in 1Q. Credit was particularly strong, with $15 billion raised in the first quarter, while real assets and Global Atlantic-related capital formation remained important contributors.</w:t>
      </w:r>
    </w:p>
    <w:p>
      <w:pPr>
        <w:pStyle w:val="BodyText"/>
      </w:pPr>
      <w:r>
        <w:t xml:space="preserve">The potential wrinkle is wealth. Management noted in May that K-Series inflows were surprisingly resilient in 1Q, but it expected a slowdown in 2Q amid broader volatility and industry concern around private-credit redemptions. That should not be overread: K-Series represented only about 12% of KKR’s trailing-12-month fundraising at the time, and KKR’s institutional, insurance, and real-assets franchises provide meaningful diversification.</w:t>
      </w:r>
    </w:p>
    <w:p>
      <w:pPr>
        <w:pStyle w:val="BodyText"/>
      </w:pPr>
      <w:r>
        <w:rPr>
          <w:b/>
          <w:bCs/>
        </w:rPr>
        <w:t xml:space="preserve">Watch for:</w:t>
      </w:r>
    </w:p>
    <w:p>
      <w:pPr>
        <w:pStyle w:val="Compact"/>
        <w:numPr>
          <w:ilvl w:val="0"/>
          <w:numId w:val="1003"/>
        </w:numPr>
      </w:pPr>
      <w:r>
        <w:t xml:space="preserve">Total gross fundraising and its composition by credit, infrastructure/real assets, private equity, and insurance.</w:t>
      </w:r>
    </w:p>
    <w:p>
      <w:pPr>
        <w:pStyle w:val="Compact"/>
        <w:numPr>
          <w:ilvl w:val="0"/>
          <w:numId w:val="1003"/>
        </w:numPr>
      </w:pPr>
      <w:r>
        <w:t xml:space="preserve">Net inflows and redemptions in K-Series / wealth products.</w:t>
      </w:r>
    </w:p>
    <w:p>
      <w:pPr>
        <w:pStyle w:val="Compact"/>
        <w:numPr>
          <w:ilvl w:val="0"/>
          <w:numId w:val="1003"/>
        </w:numPr>
      </w:pPr>
      <w:r>
        <w:t xml:space="preserve">Continued strength in asset-based finance, CLOs, direct lending, and Global Atlantic-related channels.</w:t>
      </w:r>
    </w:p>
    <w:p>
      <w:pPr>
        <w:pStyle w:val="Compact"/>
        <w:numPr>
          <w:ilvl w:val="0"/>
          <w:numId w:val="1003"/>
        </w:numPr>
      </w:pPr>
      <w:r>
        <w:t xml:space="preserve">Commentary on upcoming fundraising opportunities, especially Asia PE, Europe PE, infrastructure, climate, credit, and wealth-oriented products.</w:t>
      </w:r>
    </w:p>
    <w:p>
      <w:pPr>
        <w:pStyle w:val="FirstParagraph"/>
      </w:pPr>
      <w:r>
        <w:t xml:space="preserve">AUM of roughly $788 billion would represent about 4% sequential growth from 1Q. The composition of that increase is more important than the headline number:</w:t>
      </w:r>
      <w:r>
        <w:t xml:space="preserve"> </w:t>
      </w:r>
      <w:r>
        <w:rPr>
          <w:b/>
          <w:bCs/>
        </w:rPr>
        <w:t xml:space="preserve">organic capital raised and fee-paying AUM are higher-quality contributors than valuation uplift alone.</w:t>
      </w:r>
    </w:p>
    <w:p>
      <w:r>
        <w:pict>
          <v:rect style="width:0;height:1.5pt" o:hralign="center" o:hrstd="t" o:hr="t"/>
        </w:pict>
      </w:r>
    </w:p>
    <w:bookmarkEnd w:id="12"/>
    <w:bookmarkEnd w:id="13"/>
    <w:bookmarkStart w:id="15" w:name="X941356c6c25f405560033c7f8d2fe7da8a1b32b"/>
    <w:p>
      <w:pPr>
        <w:pStyle w:val="Heading2"/>
      </w:pPr>
      <w:r>
        <w:t xml:space="preserve">Monetizations: the swing factor for 2Q and 2026</w:t>
      </w:r>
    </w:p>
    <w:p>
      <w:pPr>
        <w:pStyle w:val="FirstParagraph"/>
      </w:pPr>
      <w:r>
        <w:t xml:space="preserve">KKR entered the year with substantial embedded value:</w:t>
      </w:r>
    </w:p>
    <w:p>
      <w:pPr>
        <w:pStyle w:val="Compact"/>
        <w:numPr>
          <w:ilvl w:val="0"/>
          <w:numId w:val="1004"/>
        </w:numPr>
      </w:pPr>
      <w:r>
        <w:rPr>
          <w:b/>
          <w:bCs/>
        </w:rPr>
        <w:t xml:space="preserve">$10.2 billion of gross unrealized performance income</w:t>
      </w:r>
      <w:r>
        <w:t xml:space="preserve"> </w:t>
      </w:r>
      <w:r>
        <w:t xml:space="preserve">as of March 31.</w:t>
      </w:r>
    </w:p>
    <w:p>
      <w:pPr>
        <w:pStyle w:val="Compact"/>
        <w:numPr>
          <w:ilvl w:val="0"/>
          <w:numId w:val="1004"/>
        </w:numPr>
      </w:pPr>
      <w:r>
        <w:rPr>
          <w:b/>
          <w:bCs/>
        </w:rPr>
        <w:t xml:space="preserve">$2.8 billion of embedded unrealized balance-sheet gains</w:t>
      </w:r>
      <w:r>
        <w:t xml:space="preserve"> </w:t>
      </w:r>
      <w:r>
        <w:t xml:space="preserve">in asset management.</w:t>
      </w:r>
    </w:p>
    <w:p>
      <w:pPr>
        <w:pStyle w:val="Compact"/>
        <w:numPr>
          <w:ilvl w:val="0"/>
          <w:numId w:val="1004"/>
        </w:numPr>
      </w:pPr>
      <w:r>
        <w:t xml:space="preserve">Approximately</w:t>
      </w:r>
      <w:r>
        <w:t xml:space="preserve"> </w:t>
      </w:r>
      <w:r>
        <w:rPr>
          <w:b/>
          <w:bCs/>
        </w:rPr>
        <w:t xml:space="preserve">$18.3 billion of total embedded gains</w:t>
      </w:r>
      <w:r>
        <w:t xml:space="preserve">, including gross carry and asset-management/Strategic Holdings gains, according to management’s May commentary.</w:t>
      </w:r>
    </w:p>
    <w:p>
      <w:pPr>
        <w:pStyle w:val="FirstParagraph"/>
      </w:pPr>
      <w:r>
        <w:t xml:space="preserve">The firm also delivered roughly</w:t>
      </w:r>
      <w:r>
        <w:t xml:space="preserve"> </w:t>
      </w:r>
      <w:r>
        <w:rPr>
          <w:b/>
          <w:bCs/>
        </w:rPr>
        <w:t xml:space="preserve">$880 million of monetization revenue in 1Q</w:t>
      </w:r>
      <w:r>
        <w:t xml:space="preserve">, up more than 50% year over year, including</w:t>
      </w:r>
      <w:r>
        <w:t xml:space="preserve"> </w:t>
      </w:r>
      <m:oMath>
        <m:r>
          <m:t>720</m:t>
        </m:r>
        <m:r>
          <m:t>m</m:t>
        </m:r>
        <m:r>
          <m:t>i</m:t>
        </m:r>
        <m:r>
          <m:t>l</m:t>
        </m:r>
        <m:r>
          <m:t>l</m:t>
        </m:r>
        <m:r>
          <m:t>i</m:t>
        </m:r>
        <m:r>
          <m:t>o</m:t>
        </m:r>
        <m:r>
          <m:t>n</m:t>
        </m:r>
        <m:r>
          <m:t>o</m:t>
        </m:r>
        <m:r>
          <m:t>f</m:t>
        </m:r>
        <m:r>
          <m:t>r</m:t>
        </m:r>
        <m:r>
          <m:t>e</m:t>
        </m:r>
        <m:r>
          <m:t>a</m:t>
        </m:r>
        <m:r>
          <m:t>l</m:t>
        </m:r>
        <m:r>
          <m:t>i</m:t>
        </m:r>
        <m:r>
          <m:t>z</m:t>
        </m:r>
        <m:r>
          <m:t>e</m:t>
        </m:r>
        <m:r>
          <m:t>d</m:t>
        </m:r>
        <m:r>
          <m:t>c</m:t>
        </m:r>
        <m:r>
          <m:t>a</m:t>
        </m:r>
        <m:r>
          <m:t>r</m:t>
        </m:r>
        <m:r>
          <m:t>r</m:t>
        </m:r>
        <m:r>
          <m:t>i</m:t>
        </m:r>
        <m:r>
          <m:t>e</m:t>
        </m:r>
        <m:r>
          <m:t>d</m:t>
        </m:r>
        <m:r>
          <m:t>i</m:t>
        </m:r>
        <m:r>
          <m:t>n</m:t>
        </m:r>
        <m:r>
          <m:t>t</m:t>
        </m:r>
        <m:r>
          <m:t>e</m:t>
        </m:r>
        <m:r>
          <m:t>r</m:t>
        </m:r>
        <m:r>
          <m:t>e</m:t>
        </m:r>
        <m:r>
          <m:t>s</m:t>
        </m:r>
        <m:r>
          <m:t>t</m:t>
        </m:r>
        <m:r>
          <m:rPr>
            <m:sty m:val="p"/>
          </m:rPr>
          <m:t>.</m:t>
        </m:r>
        <m:r>
          <m:t>M</m:t>
        </m:r>
        <m:r>
          <m:t>a</m:t>
        </m:r>
        <m:r>
          <m:t>n</m:t>
        </m:r>
        <m:r>
          <m:t>a</m:t>
        </m:r>
        <m:r>
          <m:t>g</m:t>
        </m:r>
        <m:r>
          <m:t>e</m:t>
        </m:r>
        <m:r>
          <m:t>m</m:t>
        </m:r>
        <m:r>
          <m:t>e</m:t>
        </m:r>
        <m:r>
          <m:t>n</m:t>
        </m:r>
        <m:r>
          <m:t>t</m:t>
        </m:r>
        <m:r>
          <m:t>d</m:t>
        </m:r>
        <m:r>
          <m:t>i</m:t>
        </m:r>
        <m:r>
          <m:t>s</m:t>
        </m:r>
        <m:r>
          <m:t>c</m:t>
        </m:r>
        <m:r>
          <m:t>l</m:t>
        </m:r>
        <m:r>
          <m:t>o</m:t>
        </m:r>
        <m:r>
          <m:t>s</m:t>
        </m:r>
        <m:r>
          <m:t>e</m:t>
        </m:r>
        <m:r>
          <m:t>d</m:t>
        </m:r>
        <m:r>
          <m:t>m</m:t>
        </m:r>
        <m:r>
          <m:t>o</m:t>
        </m:r>
        <m:r>
          <m:t>r</m:t>
        </m:r>
        <m:r>
          <m:t>e</m:t>
        </m:r>
        <m:r>
          <m:t>t</m:t>
        </m:r>
        <m:r>
          <m:t>h</m:t>
        </m:r>
        <m:r>
          <m:t>a</m:t>
        </m:r>
        <m:r>
          <m:t>n</m:t>
        </m:r>
        <m:r>
          <m:rPr>
            <m:sty m:val="p"/>
          </m:rPr>
          <m:t>*</m:t>
        </m:r>
        <m:r>
          <m:rPr>
            <m:sty m:val="p"/>
          </m:rPr>
          <m:t>*</m:t>
        </m:r>
      </m:oMath>
      <w:r>
        <w:t xml:space="preserve">1.2 billion of gross monetization revenue** from post-quarter exits and signed transactions expected to close in subsequent quarters—the highest forward figure it had discussed on a call.</w:t>
      </w:r>
    </w:p>
    <w:p>
      <w:pPr>
        <w:pStyle w:val="BodyText"/>
      </w:pPr>
      <w:r>
        <w:t xml:space="preserve">That backdrop makes 2Q a direct test of execution. Investors should focus on:</w:t>
      </w:r>
    </w:p>
    <w:p>
      <w:pPr>
        <w:pStyle w:val="Compact"/>
        <w:numPr>
          <w:ilvl w:val="0"/>
          <w:numId w:val="1005"/>
        </w:numPr>
      </w:pPr>
      <w:r>
        <w:rPr>
          <w:b/>
          <w:bCs/>
        </w:rPr>
        <w:t xml:space="preserve">Realized performance income / carry:</w:t>
      </w:r>
      <w:r>
        <w:t xml:space="preserve"> </w:t>
      </w:r>
      <w:r>
        <w:t xml:space="preserve">Is the realization cadence continuing?</w:t>
      </w:r>
    </w:p>
    <w:p>
      <w:pPr>
        <w:pStyle w:val="Compact"/>
        <w:numPr>
          <w:ilvl w:val="0"/>
          <w:numId w:val="1005"/>
        </w:numPr>
      </w:pPr>
      <w:r>
        <w:rPr>
          <w:b/>
          <w:bCs/>
        </w:rPr>
        <w:t xml:space="preserve">Capital-markets transaction fees:</w:t>
      </w:r>
      <w:r>
        <w:t xml:space="preserve"> </w:t>
      </w:r>
      <w:r>
        <w:t xml:space="preserve">1Q fees of $224 million were stable sequentially, but the quarter’s deal environment may provide a better read on financing and M&amp;A activity.</w:t>
      </w:r>
    </w:p>
    <w:p>
      <w:pPr>
        <w:pStyle w:val="Compact"/>
        <w:numPr>
          <w:ilvl w:val="0"/>
          <w:numId w:val="1005"/>
        </w:numPr>
      </w:pPr>
      <w:r>
        <w:rPr>
          <w:b/>
          <w:bCs/>
        </w:rPr>
        <w:t xml:space="preserve">Forward pipeline:</w:t>
      </w:r>
      <w:r>
        <w:t xml:space="preserve"> </w:t>
      </w:r>
      <w:r>
        <w:t xml:space="preserve">Has the $1.2 billion-plus forward monetization figure converted, expanded, or slipped?</w:t>
      </w:r>
    </w:p>
    <w:p>
      <w:pPr>
        <w:pStyle w:val="Compact"/>
        <w:numPr>
          <w:ilvl w:val="0"/>
          <w:numId w:val="1005"/>
        </w:numPr>
      </w:pPr>
      <w:r>
        <w:rPr>
          <w:b/>
          <w:bCs/>
        </w:rPr>
        <w:t xml:space="preserve">2026 ANI outlook:</w:t>
      </w:r>
      <w:r>
        <w:t xml:space="preserve"> </w:t>
      </w:r>
      <w:r>
        <w:t xml:space="preserve">Does management merely reiterate that $7+ ANI per share is less likely, or does it further lower expectations?</w:t>
      </w:r>
    </w:p>
    <w:bookmarkStart w:id="14" w:name="why-this-matters"/>
    <w:p>
      <w:pPr>
        <w:pStyle w:val="Heading3"/>
      </w:pPr>
      <w:r>
        <w:t xml:space="preserve">Why this matters</w:t>
      </w:r>
    </w:p>
    <w:p>
      <w:pPr>
        <w:pStyle w:val="FirstParagraph"/>
      </w:pPr>
      <w:r>
        <w:t xml:space="preserve">Management’s May message was nuanced: it did</w:t>
      </w:r>
      <w:r>
        <w:t xml:space="preserve"> </w:t>
      </w:r>
      <w:r>
        <w:rPr>
          <w:b/>
          <w:bCs/>
        </w:rPr>
        <w:t xml:space="preserve">not</w:t>
      </w:r>
      <w:r>
        <w:t xml:space="preserve"> </w:t>
      </w:r>
      <w:r>
        <w:t xml:space="preserve">cite a deterioration in asset quality or a lack of realizable value. Rather, it suggested that a more uncertain geopolitical and market backdrop could cause KKR to defer certain strategic exits to avoid selling high-quality assets into an unfavorable environment. A stable or improving pipeline in 2Q would reinforce that characterization.</w:t>
      </w:r>
    </w:p>
    <w:p>
      <w:r>
        <w:pict>
          <v:rect style="width:0;height:1.5pt" o:hralign="center" o:hrstd="t" o:hr="t"/>
        </w:pict>
      </w:r>
    </w:p>
    <w:bookmarkEnd w:id="14"/>
    <w:bookmarkEnd w:id="15"/>
    <w:bookmarkStart w:id="16" w:name="X5efde72d8e8155d6920d64d129ec511db5a3ce1"/>
    <w:p>
      <w:pPr>
        <w:pStyle w:val="Heading2"/>
      </w:pPr>
      <w:r>
        <w:t xml:space="preserve">Global Atlantic: durable economics, but near-term ROE pressure remains a risk</w:t>
      </w:r>
    </w:p>
    <w:p>
      <w:pPr>
        <w:pStyle w:val="FirstParagraph"/>
      </w:pPr>
      <w:r>
        <w:t xml:space="preserve">Global Atlantic is central to KKR’s recurring-earnings story. At 1Q26:</w:t>
      </w:r>
    </w:p>
    <w:p>
      <w:pPr>
        <w:pStyle w:val="Compact"/>
        <w:numPr>
          <w:ilvl w:val="0"/>
          <w:numId w:val="1006"/>
        </w:numPr>
      </w:pPr>
      <w:r>
        <w:t xml:space="preserve">Global Atlantic AUM was</w:t>
      </w:r>
      <w:r>
        <w:t xml:space="preserve"> </w:t>
      </w:r>
      <m:oMath>
        <m:r>
          <m:t>220</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164 billion in credit AUM</w:t>
      </w:r>
      <w:r>
        <w:t xml:space="preserve">.</w:t>
      </w:r>
    </w:p>
    <w:p>
      <w:pPr>
        <w:pStyle w:val="Compact"/>
        <w:numPr>
          <w:ilvl w:val="0"/>
          <w:numId w:val="1006"/>
        </w:numPr>
      </w:pPr>
      <w:r>
        <w:t xml:space="preserve">Insurance operating earnings were</w:t>
      </w:r>
      <w:r>
        <w:t xml:space="preserve"> </w:t>
      </w:r>
      <w:r>
        <w:rPr>
          <w:b/>
          <w:bCs/>
        </w:rPr>
        <w:t xml:space="preserve">$260 million</w:t>
      </w:r>
      <w:r>
        <w:t xml:space="preserve">, broadly flat year over year.</w:t>
      </w:r>
    </w:p>
    <w:p>
      <w:pPr>
        <w:pStyle w:val="Compact"/>
        <w:numPr>
          <w:ilvl w:val="0"/>
          <w:numId w:val="1006"/>
        </w:numPr>
      </w:pPr>
      <w:r>
        <w:t xml:space="preserve">Total insurance economics—including insurance operating earnings plus related asset-management and capital-markets economics—were</w:t>
      </w:r>
      <w:r>
        <w:t xml:space="preserve"> </w:t>
      </w:r>
      <w:r>
        <w:rPr>
          <w:b/>
          <w:bCs/>
        </w:rPr>
        <w:t xml:space="preserve">$1.92 billion over the trailing 12 months</w:t>
      </w:r>
      <w:r>
        <w:t xml:space="preserve">, up 14% year over year.</w:t>
      </w:r>
    </w:p>
    <w:p>
      <w:pPr>
        <w:pStyle w:val="Compact"/>
        <w:numPr>
          <w:ilvl w:val="0"/>
          <w:numId w:val="1006"/>
        </w:numPr>
      </w:pPr>
      <w:r>
        <w:t xml:space="preserve">Global Atlantic book value reached</w:t>
      </w:r>
      <w:r>
        <w:t xml:space="preserve"> </w:t>
      </w:r>
      <w:r>
        <w:rPr>
          <w:b/>
          <w:bCs/>
        </w:rPr>
        <w:t xml:space="preserve">$11.7 billion</w:t>
      </w:r>
      <w:r>
        <w:t xml:space="preserve">.</w:t>
      </w:r>
    </w:p>
    <w:p>
      <w:pPr>
        <w:pStyle w:val="FirstParagraph"/>
      </w:pPr>
      <w:r>
        <w:t xml:space="preserve">The near-term debate is whether competition for annuity liabilities and tight asset spreads cap profitability. Management was explicit in May that it had become more selective in retail annuities because competition and tight spreads were pressuring prospective returns. It also argued that KKR’s significant dry powder and origination capabilities position it to capitalize when liability pricing and asset spreads become more attractive.</w:t>
      </w:r>
    </w:p>
    <w:p>
      <w:pPr>
        <w:pStyle w:val="BodyText"/>
      </w:pPr>
      <w:r>
        <w:rPr>
          <w:b/>
          <w:bCs/>
        </w:rPr>
        <w:t xml:space="preserve">2Q questions to answer:</w:t>
      </w:r>
    </w:p>
    <w:p>
      <w:pPr>
        <w:pStyle w:val="Compact"/>
        <w:numPr>
          <w:ilvl w:val="0"/>
          <w:numId w:val="1007"/>
        </w:numPr>
      </w:pPr>
      <w:r>
        <w:t xml:space="preserve">Did insurance operating earnings improve from the $260 million 1Q level?</w:t>
      </w:r>
    </w:p>
    <w:p>
      <w:pPr>
        <w:pStyle w:val="Compact"/>
        <w:numPr>
          <w:ilvl w:val="0"/>
          <w:numId w:val="1007"/>
        </w:numPr>
      </w:pPr>
      <w:r>
        <w:t xml:space="preserve">Are inflows holding up in individual annuities, institutional flow, funding agreements, and reinsurance?</w:t>
      </w:r>
    </w:p>
    <w:p>
      <w:pPr>
        <w:pStyle w:val="Compact"/>
        <w:numPr>
          <w:ilvl w:val="0"/>
          <w:numId w:val="1007"/>
        </w:numPr>
      </w:pPr>
      <w:r>
        <w:t xml:space="preserve">Is management becoming more constructive on new-business ROEs as spreads evolve?</w:t>
      </w:r>
    </w:p>
    <w:p>
      <w:pPr>
        <w:pStyle w:val="Compact"/>
        <w:numPr>
          <w:ilvl w:val="0"/>
          <w:numId w:val="1007"/>
        </w:numPr>
      </w:pPr>
      <w:r>
        <w:t xml:space="preserve">Does the firm continue to shift toward longer-duration liabilities, which it views as a relative advantage?</w:t>
      </w:r>
    </w:p>
    <w:p>
      <w:pPr>
        <w:pStyle w:val="FirstParagraph"/>
      </w:pPr>
      <w:r>
        <w:t xml:space="preserve">A better-than-expected insurance result would be meaningful because it would validate the earnings durability embedded in KKR’s valuation. A weak result may not be fatal, but investors will want assurance that selectivity reflects discipline rather than lost growth.</w:t>
      </w:r>
    </w:p>
    <w:p>
      <w:r>
        <w:pict>
          <v:rect style="width:0;height:1.5pt" o:hralign="center" o:hrstd="t" o:hr="t"/>
        </w:pict>
      </w:r>
    </w:p>
    <w:bookmarkEnd w:id="16"/>
    <w:bookmarkStart w:id="17" w:name="X3f08ed0fbf644d5db08e2c531794e1495e1f809"/>
    <w:p>
      <w:pPr>
        <w:pStyle w:val="Heading2"/>
      </w:pPr>
      <w:r>
        <w:t xml:space="preserve">Strategic Holdings: likely more important in the second half</w:t>
      </w:r>
    </w:p>
    <w:p>
      <w:pPr>
        <w:pStyle w:val="FirstParagraph"/>
      </w:pPr>
      <w:r>
        <w:t xml:space="preserve">Strategic Holdings contributed</w:t>
      </w:r>
      <w:r>
        <w:t xml:space="preserve"> </w:t>
      </w:r>
      <m:oMath>
        <m:r>
          <m:t>48</m:t>
        </m:r>
        <m:r>
          <m:t>m</m:t>
        </m:r>
        <m:r>
          <m:t>i</m:t>
        </m:r>
        <m:r>
          <m:t>l</m:t>
        </m:r>
        <m:r>
          <m:t>l</m:t>
        </m:r>
        <m:r>
          <m:t>i</m:t>
        </m:r>
        <m:r>
          <m:t>o</m:t>
        </m:r>
        <m:r>
          <m:t>n</m:t>
        </m:r>
        <m:r>
          <m:rPr>
            <m:sty m:val="p"/>
          </m:rPr>
          <m:t>*</m:t>
        </m:r>
        <m:r>
          <m:rPr>
            <m:sty m:val="p"/>
          </m:rPr>
          <m:t>*</m:t>
        </m:r>
        <m:r>
          <m:t>o</m:t>
        </m:r>
        <m:r>
          <m:t>f</m:t>
        </m:r>
        <m:r>
          <m:t>o</m:t>
        </m:r>
        <m:r>
          <m:t>p</m:t>
        </m:r>
        <m:r>
          <m:t>e</m:t>
        </m:r>
        <m:r>
          <m:t>r</m:t>
        </m:r>
        <m:r>
          <m:t>a</m:t>
        </m:r>
        <m:r>
          <m:t>t</m:t>
        </m:r>
        <m:r>
          <m:t>i</m:t>
        </m:r>
        <m:r>
          <m:t>n</m:t>
        </m:r>
        <m:r>
          <m:t>g</m:t>
        </m:r>
        <m:r>
          <m:t>e</m:t>
        </m:r>
        <m:r>
          <m:t>a</m:t>
        </m:r>
        <m:r>
          <m:t>r</m:t>
        </m:r>
        <m:r>
          <m:t>n</m:t>
        </m:r>
        <m:r>
          <m:t>i</m:t>
        </m:r>
        <m:r>
          <m:t>n</m:t>
        </m:r>
        <m:r>
          <m:t>g</m:t>
        </m:r>
        <m:r>
          <m:t>s</m:t>
        </m:r>
        <m:r>
          <m:t>i</m:t>
        </m:r>
        <m:r>
          <m:t>n</m:t>
        </m:r>
        <m:r>
          <m:t>1</m:t>
        </m:r>
        <m:r>
          <m:t>Q</m:t>
        </m:r>
        <m:r>
          <m:t>26</m:t>
        </m:r>
        <m:r>
          <m:rPr>
            <m:sty m:val="p"/>
          </m:rPr>
          <m:t>,</m:t>
        </m:r>
        <m:r>
          <m:t>a</m:t>
        </m:r>
        <m:r>
          <m:t>n</m:t>
        </m:r>
        <m:r>
          <m:t>d</m:t>
        </m:r>
        <m:r>
          <m:t>m</m:t>
        </m:r>
        <m:r>
          <m:t>a</m:t>
        </m:r>
        <m:r>
          <m:t>n</m:t>
        </m:r>
        <m:r>
          <m:t>a</m:t>
        </m:r>
        <m:r>
          <m:t>g</m:t>
        </m:r>
        <m:r>
          <m:t>e</m:t>
        </m:r>
        <m:r>
          <m:t>m</m:t>
        </m:r>
        <m:r>
          <m:t>e</m:t>
        </m:r>
        <m:r>
          <m:t>n</m:t>
        </m:r>
        <m:r>
          <m:t>t</m:t>
        </m:r>
        <m:r>
          <m:t>r</m:t>
        </m:r>
        <m:r>
          <m:t>e</m:t>
        </m:r>
        <m:r>
          <m:t>i</m:t>
        </m:r>
        <m:r>
          <m:t>t</m:t>
        </m:r>
        <m:r>
          <m:t>e</m:t>
        </m:r>
        <m:r>
          <m:t>r</m:t>
        </m:r>
        <m:r>
          <m:t>a</m:t>
        </m:r>
        <m:r>
          <m:t>t</m:t>
        </m:r>
        <m:r>
          <m:t>e</m:t>
        </m:r>
        <m:r>
          <m:t>d</m:t>
        </m:r>
        <m:r>
          <m:t>i</m:t>
        </m:r>
        <m:r>
          <m:t>t</m:t>
        </m:r>
        <m:r>
          <m:t>s</m:t>
        </m:r>
        <m:r>
          <m:t>e</m:t>
        </m:r>
        <m:r>
          <m:t>x</m:t>
        </m:r>
        <m:r>
          <m:t>p</m:t>
        </m:r>
        <m:r>
          <m:t>e</m:t>
        </m:r>
        <m:r>
          <m:t>c</m:t>
        </m:r>
        <m:r>
          <m:t>t</m:t>
        </m:r>
        <m:r>
          <m:t>a</m:t>
        </m:r>
        <m:r>
          <m:t>t</m:t>
        </m:r>
        <m:r>
          <m:t>i</m:t>
        </m:r>
        <m:r>
          <m:t>o</m:t>
        </m:r>
        <m:r>
          <m:t>n</m:t>
        </m:r>
        <m:r>
          <m:t>f</m:t>
        </m:r>
        <m:r>
          <m:t>o</m:t>
        </m:r>
        <m:r>
          <m:t>r</m:t>
        </m:r>
        <m:r>
          <m:rPr>
            <m:sty m:val="p"/>
          </m:rPr>
          <m:t>*</m:t>
        </m:r>
        <m:r>
          <m:rPr>
            <m:sty m:val="p"/>
          </m:rPr>
          <m:t>*</m:t>
        </m:r>
      </m:oMath>
      <w:r>
        <w:rPr>
          <w:b/>
          <w:bCs/>
        </w:rPr>
        <w:t xml:space="preserve">350 million-plus in 2026</w:t>
      </w:r>
      <w:r>
        <w:t xml:space="preserve">, with earnings weighted toward the back half of the year.</w:t>
      </w:r>
    </w:p>
    <w:p>
      <w:pPr>
        <w:pStyle w:val="BodyText"/>
      </w:pPr>
      <w:r>
        <w:t xml:space="preserve">This segment is strategically valuable because it turns ownership stakes in businesses into a more recurring dividend stream. But it is still small relative to FRE and insurance, and the 2026 target requires material acceleration from the first-quarter run rate.</w:t>
      </w:r>
    </w:p>
    <w:p>
      <w:pPr>
        <w:pStyle w:val="BodyText"/>
      </w:pPr>
      <w:r>
        <w:rPr>
          <w:b/>
          <w:bCs/>
        </w:rPr>
        <w:t xml:space="preserve">For 2Q, look for:</w:t>
      </w:r>
    </w:p>
    <w:p>
      <w:pPr>
        <w:pStyle w:val="Compact"/>
        <w:numPr>
          <w:ilvl w:val="0"/>
          <w:numId w:val="1008"/>
        </w:numPr>
      </w:pPr>
      <w:r>
        <w:t xml:space="preserve">Dividend growth and visibility into second-half contributions.</w:t>
      </w:r>
    </w:p>
    <w:p>
      <w:pPr>
        <w:pStyle w:val="Compact"/>
        <w:numPr>
          <w:ilvl w:val="0"/>
          <w:numId w:val="1008"/>
        </w:numPr>
      </w:pPr>
      <w:r>
        <w:t xml:space="preserve">Reaffirmation of the $350 million-plus target.</w:t>
      </w:r>
    </w:p>
    <w:p>
      <w:pPr>
        <w:pStyle w:val="Compact"/>
        <w:numPr>
          <w:ilvl w:val="0"/>
          <w:numId w:val="1008"/>
        </w:numPr>
      </w:pPr>
      <w:r>
        <w:t xml:space="preserve">Any update on portfolio-company operating performance and the impact of AI, macro conditions, or consumer demand.</w:t>
      </w:r>
    </w:p>
    <w:p>
      <w:r>
        <w:pict>
          <v:rect style="width:0;height:1.5pt" o:hralign="center" o:hrstd="t" o:hr="t"/>
        </w:pict>
      </w:r>
    </w:p>
    <w:bookmarkEnd w:id="17"/>
    <w:bookmarkStart w:id="18" w:name="Xfa0cca12b5dc02a7b16702a893feab9813a6c39"/>
    <w:p>
      <w:pPr>
        <w:pStyle w:val="Heading2"/>
      </w:pPr>
      <w:r>
        <w:t xml:space="preserve">Portfolio performance and valuation marks</w:t>
      </w:r>
    </w:p>
    <w:p>
      <w:pPr>
        <w:pStyle w:val="FirstParagraph"/>
      </w:pPr>
      <w:r>
        <w:t xml:space="preserve">KKR’s first-quarter investment performance was mixed but generally constructive:</w:t>
      </w:r>
    </w:p>
    <w:p>
      <w:pPr>
        <w:pStyle w:val="Compact"/>
        <w:numPr>
          <w:ilvl w:val="0"/>
          <w:numId w:val="1009"/>
        </w:numPr>
      </w:pPr>
      <w:r>
        <w:t xml:space="preserve">Traditional private equity:</w:t>
      </w:r>
      <w:r>
        <w:t xml:space="preserve"> </w:t>
      </w:r>
      <w:r>
        <w:rPr>
          <w:b/>
          <w:bCs/>
        </w:rPr>
        <w:t xml:space="preserve">+1% in 1Q; +10% LTM</w:t>
      </w:r>
    </w:p>
    <w:p>
      <w:pPr>
        <w:pStyle w:val="Compact"/>
        <w:numPr>
          <w:ilvl w:val="0"/>
          <w:numId w:val="1009"/>
        </w:numPr>
      </w:pPr>
      <w:r>
        <w:t xml:space="preserve">Infrastructure:</w:t>
      </w:r>
      <w:r>
        <w:t xml:space="preserve"> </w:t>
      </w:r>
      <w:r>
        <w:rPr>
          <w:b/>
          <w:bCs/>
        </w:rPr>
        <w:t xml:space="preserve">+2% in 1Q; +10% LTM</w:t>
      </w:r>
    </w:p>
    <w:p>
      <w:pPr>
        <w:pStyle w:val="Compact"/>
        <w:numPr>
          <w:ilvl w:val="0"/>
          <w:numId w:val="1009"/>
        </w:numPr>
      </w:pPr>
      <w:r>
        <w:t xml:space="preserve">Opportunistic real estate:</w:t>
      </w:r>
      <w:r>
        <w:t xml:space="preserve"> </w:t>
      </w:r>
      <w:r>
        <w:rPr>
          <w:b/>
          <w:bCs/>
        </w:rPr>
        <w:t xml:space="preserve">-1% in 1Q; +2% LTM</w:t>
      </w:r>
    </w:p>
    <w:p>
      <w:pPr>
        <w:pStyle w:val="Compact"/>
        <w:numPr>
          <w:ilvl w:val="0"/>
          <w:numId w:val="1009"/>
        </w:numPr>
      </w:pPr>
      <w:r>
        <w:t xml:space="preserve">Leveraged credit:</w:t>
      </w:r>
      <w:r>
        <w:t xml:space="preserve"> </w:t>
      </w:r>
      <w:r>
        <w:rPr>
          <w:b/>
          <w:bCs/>
        </w:rPr>
        <w:t xml:space="preserve">-1% in 1Q; +5% LTM</w:t>
      </w:r>
    </w:p>
    <w:p>
      <w:pPr>
        <w:pStyle w:val="Compact"/>
        <w:numPr>
          <w:ilvl w:val="0"/>
          <w:numId w:val="1009"/>
        </w:numPr>
      </w:pPr>
      <w:r>
        <w:t xml:space="preserve">Alternative credit:</w:t>
      </w:r>
      <w:r>
        <w:t xml:space="preserve"> </w:t>
      </w:r>
      <w:r>
        <w:rPr>
          <w:b/>
          <w:bCs/>
        </w:rPr>
        <w:t xml:space="preserve">-1% in 1Q; +4% LTM</w:t>
      </w:r>
    </w:p>
    <w:p>
      <w:pPr>
        <w:pStyle w:val="FirstParagraph"/>
      </w:pPr>
      <w:r>
        <w:t xml:space="preserve">The important 2Q question is whether market conditions, especially in public comparables and credit, support marks across private equity, infrastructure, and credit. KKR has emphasized that underlying operating performance in its companies remains healthy, even when public-market multiple compression has weighed on reported valuations in certain sectors such as software.</w:t>
      </w:r>
    </w:p>
    <w:p>
      <w:pPr>
        <w:pStyle w:val="BodyText"/>
      </w:pPr>
      <w:r>
        <w:t xml:space="preserve">Positive marks would support AUM, embedded carry, and future realization potential. Negative marks would not necessarily impair FRE immediately, but they could affect sentiment around future carry conversion and exit values.</w:t>
      </w:r>
    </w:p>
    <w:p>
      <w:r>
        <w:pict>
          <v:rect style="width:0;height:1.5pt" o:hralign="center" o:hrstd="t" o:hr="t"/>
        </w:pict>
      </w:r>
    </w:p>
    <w:bookmarkEnd w:id="18"/>
    <w:bookmarkStart w:id="19" w:name="X2cbfae9de8e2da0e7bd7ea431796045bdb62fc8"/>
    <w:p>
      <w:pPr>
        <w:pStyle w:val="Heading2"/>
      </w:pPr>
      <w:r>
        <w:t xml:space="preserve">Recent deal activity: strategically positive, limited direct 2Q earnings impact</w:t>
      </w:r>
    </w:p>
    <w:p>
      <w:pPr>
        <w:pStyle w:val="FirstParagraph"/>
      </w:pPr>
      <w:r>
        <w:t xml:space="preserve">KKR and consortium partners recently agreed to acquire DCC Energy in a transaction valued at roughly</w:t>
      </w:r>
      <w:r>
        <w:t xml:space="preserve"> </w:t>
      </w:r>
      <w:r>
        <w:rPr>
          <w:b/>
          <w:bCs/>
        </w:rPr>
        <w:t xml:space="preserve">£5.75 billion</w:t>
      </w:r>
      <w:r>
        <w:t xml:space="preserve">. The transaction underscores KKR’s continued ability to source large infrastructure/energy opportunities, but it is more relevant as evidence of deployment and franchise strength than as a material contributor to 2Q reported earnings.</w:t>
      </w:r>
    </w:p>
    <w:p>
      <w:pPr>
        <w:pStyle w:val="BodyText"/>
      </w:pPr>
      <w:r>
        <w:t xml:space="preserve">More broadly, a healthy pace of large transactions is constructive for:</w:t>
      </w:r>
    </w:p>
    <w:p>
      <w:pPr>
        <w:pStyle w:val="Compact"/>
        <w:numPr>
          <w:ilvl w:val="0"/>
          <w:numId w:val="1010"/>
        </w:numPr>
      </w:pPr>
      <w:r>
        <w:t xml:space="preserve">Capital deployment;</w:t>
      </w:r>
    </w:p>
    <w:p>
      <w:pPr>
        <w:pStyle w:val="Compact"/>
        <w:numPr>
          <w:ilvl w:val="0"/>
          <w:numId w:val="1010"/>
        </w:numPr>
      </w:pPr>
      <w:r>
        <w:t xml:space="preserve">Future management-fee activation;</w:t>
      </w:r>
    </w:p>
    <w:p>
      <w:pPr>
        <w:pStyle w:val="Compact"/>
        <w:numPr>
          <w:ilvl w:val="0"/>
          <w:numId w:val="1010"/>
        </w:numPr>
      </w:pPr>
      <w:r>
        <w:t xml:space="preserve">Capital-markets fees;</w:t>
      </w:r>
    </w:p>
    <w:p>
      <w:pPr>
        <w:pStyle w:val="Compact"/>
        <w:numPr>
          <w:ilvl w:val="0"/>
          <w:numId w:val="1010"/>
        </w:numPr>
      </w:pPr>
      <w:r>
        <w:t xml:space="preserve">Eventual realization opportunities; and</w:t>
      </w:r>
    </w:p>
    <w:p>
      <w:pPr>
        <w:pStyle w:val="Compact"/>
        <w:numPr>
          <w:ilvl w:val="0"/>
          <w:numId w:val="1010"/>
        </w:numPr>
      </w:pPr>
      <w:r>
        <w:t xml:space="preserve">Fundraising credibility.</w:t>
      </w:r>
    </w:p>
    <w:p>
      <w:r>
        <w:pict>
          <v:rect style="width:0;height:1.5pt" o:hralign="center" o:hrstd="t" o:hr="t"/>
        </w:pict>
      </w:r>
    </w:p>
    <w:bookmarkEnd w:id="19"/>
    <w:bookmarkStart w:id="20" w:name="X796edfbf4b86851cd97da8bb24de0aabdf87cad"/>
    <w:p>
      <w:pPr>
        <w:pStyle w:val="Heading2"/>
      </w:pPr>
      <w:r>
        <w:t xml:space="preserve">What would make the quarter a clear positive?</w:t>
      </w:r>
    </w:p>
    <w:p>
      <w:pPr>
        <w:pStyle w:val="FirstParagraph"/>
      </w:pPr>
      <w:r>
        <w:t xml:space="preserve">A bullish 2Q outcome would likely include most of the following:</w:t>
      </w:r>
    </w:p>
    <w:p>
      <w:pPr>
        <w:pStyle w:val="Compact"/>
        <w:numPr>
          <w:ilvl w:val="0"/>
          <w:numId w:val="1011"/>
        </w:numPr>
      </w:pPr>
      <w:r>
        <w:t xml:space="preserve">EPS at or above the</w:t>
      </w:r>
      <w:r>
        <w:t xml:space="preserve"> </w:t>
      </w:r>
      <w:r>
        <w:rPr>
          <w:b/>
          <w:bCs/>
        </w:rPr>
        <w:t xml:space="preserve">$1.43</w:t>
      </w:r>
      <w:r>
        <w:t xml:space="preserve"> </w:t>
      </w:r>
      <w:r>
        <w:t xml:space="preserve">consensus expectation.</w:t>
      </w:r>
    </w:p>
    <w:p>
      <w:pPr>
        <w:pStyle w:val="Compact"/>
        <w:numPr>
          <w:ilvl w:val="0"/>
          <w:numId w:val="1011"/>
        </w:numPr>
      </w:pPr>
      <w:r>
        <w:t xml:space="preserve">FRE per share clearly above the $1.13 reported in 1Q, or a convincing explanation for timing effects.</w:t>
      </w:r>
    </w:p>
    <w:p>
      <w:pPr>
        <w:pStyle w:val="Compact"/>
        <w:numPr>
          <w:ilvl w:val="0"/>
          <w:numId w:val="1011"/>
        </w:numPr>
      </w:pPr>
      <w:r>
        <w:t xml:space="preserve">AUM around or above</w:t>
      </w:r>
      <w:r>
        <w:t xml:space="preserve"> </w:t>
      </w:r>
      <w:r>
        <w:rPr>
          <w:b/>
          <w:bCs/>
        </w:rPr>
        <w:t xml:space="preserve">$788 billion</w:t>
      </w:r>
      <w:r>
        <w:t xml:space="preserve">, with strong FPAUM and organic fundraising.</w:t>
      </w:r>
    </w:p>
    <w:p>
      <w:pPr>
        <w:pStyle w:val="Compact"/>
        <w:numPr>
          <w:ilvl w:val="0"/>
          <w:numId w:val="1011"/>
        </w:numPr>
      </w:pPr>
      <w:r>
        <w:t xml:space="preserve">Fundraising that remains broad despite a slower wealth channel.</w:t>
      </w:r>
    </w:p>
    <w:p>
      <w:pPr>
        <w:pStyle w:val="Compact"/>
        <w:numPr>
          <w:ilvl w:val="0"/>
          <w:numId w:val="1011"/>
        </w:numPr>
      </w:pPr>
      <w:r>
        <w:t xml:space="preserve">Stable-to-improving FRE margin near 69%.</w:t>
      </w:r>
    </w:p>
    <w:p>
      <w:pPr>
        <w:pStyle w:val="Compact"/>
        <w:numPr>
          <w:ilvl w:val="0"/>
          <w:numId w:val="1011"/>
        </w:numPr>
      </w:pPr>
      <w:r>
        <w:t xml:space="preserve">Insurance operating earnings that show traction above the 1Q level.</w:t>
      </w:r>
    </w:p>
    <w:p>
      <w:pPr>
        <w:pStyle w:val="Compact"/>
        <w:numPr>
          <w:ilvl w:val="0"/>
          <w:numId w:val="1011"/>
        </w:numPr>
      </w:pPr>
      <w:r>
        <w:t xml:space="preserve">Strong realized carry and/or capital-markets fees.</w:t>
      </w:r>
    </w:p>
    <w:p>
      <w:pPr>
        <w:pStyle w:val="Compact"/>
        <w:numPr>
          <w:ilvl w:val="0"/>
          <w:numId w:val="1011"/>
        </w:numPr>
      </w:pPr>
      <w:r>
        <w:t xml:space="preserve">Confirmation that the forward monetization pipeline is converting and that delayed exits are timing shifts, not economic impairments.</w:t>
      </w:r>
    </w:p>
    <w:p>
      <w:pPr>
        <w:pStyle w:val="Compact"/>
        <w:numPr>
          <w:ilvl w:val="0"/>
          <w:numId w:val="1011"/>
        </w:numPr>
      </w:pPr>
      <w:r>
        <w:t xml:space="preserve">No further deterioration in the outlook for 2026 ANI.</w:t>
      </w:r>
    </w:p>
    <w:bookmarkEnd w:id="20"/>
    <w:bookmarkStart w:id="21" w:name="what-would-concern-investors"/>
    <w:p>
      <w:pPr>
        <w:pStyle w:val="Heading2"/>
      </w:pPr>
      <w:r>
        <w:t xml:space="preserve">What would concern investors?</w:t>
      </w:r>
    </w:p>
    <w:p>
      <w:pPr>
        <w:pStyle w:val="Compact"/>
        <w:numPr>
          <w:ilvl w:val="0"/>
          <w:numId w:val="1012"/>
        </w:numPr>
      </w:pPr>
      <w:r>
        <w:t xml:space="preserve">A shortfall in FRE or management-fee growth, especially if driven by weaker fee-paying AUM.</w:t>
      </w:r>
    </w:p>
    <w:p>
      <w:pPr>
        <w:pStyle w:val="Compact"/>
        <w:numPr>
          <w:ilvl w:val="0"/>
          <w:numId w:val="1012"/>
        </w:numPr>
      </w:pPr>
      <w:r>
        <w:t xml:space="preserve">Materially weaker-than-expected K-Series flows or elevated redemptions spreading beyond private wealth.</w:t>
      </w:r>
    </w:p>
    <w:p>
      <w:pPr>
        <w:pStyle w:val="Compact"/>
        <w:numPr>
          <w:ilvl w:val="0"/>
          <w:numId w:val="1012"/>
        </w:numPr>
      </w:pPr>
      <w:r>
        <w:t xml:space="preserve">Insurance earnings pressure without a credible path to improved new-business economics.</w:t>
      </w:r>
    </w:p>
    <w:p>
      <w:pPr>
        <w:pStyle w:val="Compact"/>
        <w:numPr>
          <w:ilvl w:val="0"/>
          <w:numId w:val="1012"/>
        </w:numPr>
      </w:pPr>
      <w:r>
        <w:t xml:space="preserve">A material decline in portfolio marks or embedded performance income.</w:t>
      </w:r>
    </w:p>
    <w:p>
      <w:pPr>
        <w:pStyle w:val="Compact"/>
        <w:numPr>
          <w:ilvl w:val="0"/>
          <w:numId w:val="1012"/>
        </w:numPr>
      </w:pPr>
      <w:r>
        <w:t xml:space="preserve">Lowering of the full-year ANI outlook beyond the already cautious May commentary.</w:t>
      </w:r>
    </w:p>
    <w:p>
      <w:pPr>
        <w:pStyle w:val="Compact"/>
        <w:numPr>
          <w:ilvl w:val="0"/>
          <w:numId w:val="1012"/>
        </w:numPr>
      </w:pPr>
      <w:r>
        <w:t xml:space="preserve">A weaker realization pipeline or delayed transactions without offsetting capital-markets activity.</w:t>
      </w:r>
    </w:p>
    <w:p>
      <w:r>
        <w:pict>
          <v:rect style="width:0;height:1.5pt" o:hralign="center" o:hrstd="t" o:hr="t"/>
        </w:pict>
      </w:r>
    </w:p>
    <w:bookmarkEnd w:id="21"/>
    <w:bookmarkStart w:id="22" w:name="bottom-line"/>
    <w:p>
      <w:pPr>
        <w:pStyle w:val="Heading2"/>
      </w:pPr>
      <w:r>
        <w:t xml:space="preserve">Bottom line</w:t>
      </w:r>
    </w:p>
    <w:p>
      <w:pPr>
        <w:pStyle w:val="FirstParagraph"/>
      </w:pPr>
      <w:r>
        <w:rPr>
          <w:b/>
          <w:bCs/>
        </w:rPr>
        <w:t xml:space="preserve">KKR’s 2Q26 report is primarily a proof-of-durability event.</w:t>
      </w:r>
      <w:r>
        <w:t xml:space="preserve"> </w:t>
      </w:r>
      <w:r>
        <w:t xml:space="preserve">The firm has a strong starting position: rapidly expanding fee-paying AUM, broad fundraising, significant dry powder, high embedded gains, and a diversified model in which recurring operating earnings dominate total segment earnings.</w:t>
      </w:r>
    </w:p>
    <w:p>
      <w:pPr>
        <w:pStyle w:val="BodyText"/>
      </w:pPr>
      <w:r>
        <w:t xml:space="preserve">The market’s attention, however, will be on the bridge from those strengths to near-term earnings. Specifically: can KKR keep FRE compounding, can Global Atlantic maintain attractive economics amid competitive conditions, and can realizations continue strongly enough to preserve confidence in the firm’s multi-year ANI trajectory?</w:t>
      </w:r>
    </w:p>
    <w:p>
      <w:pPr>
        <w:pStyle w:val="BodyText"/>
      </w:pPr>
      <w:r>
        <w:t xml:space="preserve">A solid print with healthy fee metrics and intact monetization commentary should support the view that 2026 is a timing-normalization year rather than a broken earnings story. The risk is that an already-recovered share price leaves less room for ambiguity around fundraising, insurance margins, or exit timing.</w:t>
      </w:r>
    </w:p>
    <w:p>
      <w:pPr>
        <w:pStyle w:val="BodyText"/>
      </w:pPr>
      <w:r>
        <w:rPr>
          <w:i/>
          <w:iCs/>
        </w:rPr>
        <w:t xml:space="preserve">Sources: KKR 1Q26 earnings release and conference-call transcript; KKR 2Q25 earnings release; market news digest and KKR share-price data through July 29,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2026-07-29T18:30:11Z</dcterms:created>
  <dcterms:modified xsi:type="dcterms:W3CDTF">2026-07-29T18:30:11Z</dcterms:modified>
</cp:coreProperties>
</file>

<file path=docProps/custom.xml><?xml version="1.0" encoding="utf-8"?>
<Properties xmlns="http://schemas.openxmlformats.org/officeDocument/2006/custom-properties" xmlns:vt="http://schemas.openxmlformats.org/officeDocument/2006/docPropsVTypes"/>
</file>