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KKR &amp; Co. Inc. (NYSE: KKR)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KKR &amp; Co. Inc.</w:t>
            </w:r>
          </w:p>
        </w:tc>
        <w:tc>
          <w:tcPr>
            <w:tcW w:type="dxa" w:w="2160"/>
          </w:tcPr>
          <w:p>
            <w:r>
              <w:rPr>
                <w:rFonts w:ascii="Calibri" w:hAnsi="Calibri"/>
                <w:b/>
                <w:sz w:val="22"/>
              </w:rPr>
              <w:t>Earnings Date</w:t>
            </w:r>
          </w:p>
        </w:tc>
        <w:tc>
          <w:tcPr>
            <w:tcW w:type="dxa" w:w="2160"/>
          </w:tcPr>
          <w:p>
            <w:r>
              <w:rPr>
                <w:rFonts w:ascii="Calibri" w:hAnsi="Calibri"/>
                <w:sz w:val="22"/>
              </w:rPr>
              <w:t>July 30, 2026 (Before Market Open)</w:t>
            </w:r>
          </w:p>
        </w:tc>
      </w:tr>
      <w:tr>
        <w:tc>
          <w:tcPr>
            <w:tcW w:type="dxa" w:w="2160"/>
          </w:tcPr>
          <w:p>
            <w:r>
              <w:rPr>
                <w:rFonts w:ascii="Calibri" w:hAnsi="Calibri"/>
                <w:b/>
                <w:sz w:val="22"/>
              </w:rPr>
              <w:t>Ticker</w:t>
            </w:r>
          </w:p>
        </w:tc>
        <w:tc>
          <w:tcPr>
            <w:tcW w:type="dxa" w:w="2160"/>
          </w:tcPr>
          <w:p>
            <w:r>
              <w:rPr>
                <w:rFonts w:ascii="Calibri" w:hAnsi="Calibri"/>
                <w:sz w:val="22"/>
              </w:rPr>
              <w:t>NYSE: KKR</w:t>
            </w:r>
          </w:p>
        </w:tc>
        <w:tc>
          <w:tcPr>
            <w:tcW w:type="dxa" w:w="2160"/>
          </w:tcPr>
          <w:p>
            <w:r>
              <w:rPr>
                <w:rFonts w:ascii="Calibri" w:hAnsi="Calibri"/>
                <w:b/>
                <w:sz w:val="22"/>
              </w:rPr>
              <w:t>Reporting Period</w:t>
            </w:r>
          </w:p>
        </w:tc>
        <w:tc>
          <w:tcPr>
            <w:tcW w:type="dxa" w:w="2160"/>
          </w:tcPr>
          <w:p>
            <w:r>
              <w:rPr>
                <w:rFonts w:ascii="Calibri" w:hAnsi="Calibri"/>
                <w:sz w:val="22"/>
              </w:rPr>
              <w:t>Q2 2026 (Quarter Ending June 30, 2026)</w:t>
            </w:r>
          </w:p>
        </w:tc>
      </w:tr>
      <w:tr>
        <w:tc>
          <w:tcPr>
            <w:tcW w:type="dxa" w:w="2160"/>
          </w:tcPr>
          <w:p>
            <w:r>
              <w:rPr>
                <w:rFonts w:ascii="Calibri" w:hAnsi="Calibri"/>
                <w:b/>
                <w:sz w:val="22"/>
              </w:rPr>
              <w:t>Sector</w:t>
            </w:r>
          </w:p>
        </w:tc>
        <w:tc>
          <w:tcPr>
            <w:tcW w:type="dxa" w:w="2160"/>
          </w:tcPr>
          <w:p>
            <w:r>
              <w:rPr>
                <w:rFonts w:ascii="Calibri" w:hAnsi="Calibri"/>
                <w:sz w:val="22"/>
              </w:rPr>
              <w:t>Alternative Asset Management</w:t>
            </w:r>
          </w:p>
        </w:tc>
        <w:tc>
          <w:tcPr>
            <w:tcW w:type="dxa" w:w="2160"/>
          </w:tcPr>
          <w:p>
            <w:r>
              <w:rPr>
                <w:rFonts w:ascii="Calibri" w:hAnsi="Calibri"/>
                <w:b/>
                <w:sz w:val="22"/>
              </w:rPr>
              <w:t>Prepared Date</w:t>
            </w:r>
          </w:p>
        </w:tc>
        <w:tc>
          <w:tcPr>
            <w:tcW w:type="dxa" w:w="2160"/>
          </w:tcPr>
          <w:p>
            <w:r>
              <w:rPr>
                <w:rFonts w:ascii="Calibri" w:hAnsi="Calibri"/>
                <w:sz w:val="22"/>
              </w:rPr>
              <w:t>July 29,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constructive — KKR pre-announced </w:t>
      </w:r>
      <w:r>
        <w:rPr>
          <w:rFonts w:ascii="Calibri" w:hAnsi="Calibri"/>
          <w:b/>
          <w:color w:val="525866"/>
          <w:sz w:val="22"/>
        </w:rPr>
        <w:t>$900M+ in Q2 monetization income</w:t>
      </w:r>
      <w:r>
        <w:rPr>
          <w:rFonts w:ascii="Calibri" w:hAnsi="Calibri"/>
          <w:color w:val="525866"/>
          <w:sz w:val="22"/>
        </w:rPr>
        <w:t xml:space="preserve"> (through June 24), the largest forward pipeline ever disclosed, and FRE is tracking well above the $4.50/share 2026 target; the bar is beatable on FRE but the market will focus on whether ANI can recover toward the softened $7 guidance after Q1's miss.</w:t>
      </w:r>
    </w:p>
    <w:p>
      <w:r>
        <w:rPr>
          <w:rFonts w:ascii="Calibri" w:hAnsi="Calibri"/>
          <w:color w:val="525866"/>
          <w:sz w:val="22"/>
        </w:rPr>
        <w:t xml:space="preserve">Heading into Q2 2026 results, the setup for KKR is arguably the most constructive it has been since management softened full-year ANI guidance on the Q1 call. The firm's July 1 pre-announcement of </w:t>
      </w:r>
      <w:r>
        <w:rPr>
          <w:rFonts w:ascii="Calibri" w:hAnsi="Calibri"/>
          <w:b/>
          <w:color w:val="525866"/>
          <w:sz w:val="22"/>
        </w:rPr>
        <w:t>income from monetization activity in excess of $900 million</w:t>
      </w:r>
      <w:r>
        <w:rPr>
          <w:rFonts w:ascii="Calibri" w:hAnsi="Calibri"/>
          <w:color w:val="525866"/>
          <w:sz w:val="22"/>
        </w:rPr>
        <w:t xml:space="preserve"> for the period March 31 through June 24 — approximately 80% realized performance income and 20% realized investment income — materially de-risks the biggest bear concern heading into the print: that delayed monetizations would weigh on Q2 ANI. </w:t>
      </w:r>
      <w:r>
        <w:rPr>
          <w:rFonts w:ascii="Calibri" w:hAnsi="Calibri"/>
          <w:b/>
          <w:color w:val="525866"/>
          <w:sz w:val="22"/>
        </w:rPr>
        <w:t>FRE per share consensus sits at ~$1.16</w:t>
      </w:r>
      <w:r>
        <w:rPr>
          <w:rFonts w:ascii="Calibri" w:hAnsi="Calibri"/>
          <w:color w:val="525866"/>
          <w:sz w:val="22"/>
        </w:rPr>
        <w:t>, implying roughly 18% year-over-year growth, consistent with management's "unreserved yes" reaffirmation of the $4.50+ 2026 target; estimates have been stable-to-slightly-rising since the Q1 print, suggesting the bar is achievable. The stock has underperformed peers since Q1 earnings — down ~3% vs. BX +5% and ARES +1% on an indexed basis — reflecting lingering skepticism around the ANI trajectory and the market's tendency to group KKR with software/SaaS names despite record operating metrics. The key wildcard is whether management upgrades the full-year ANI guidance back toward $7 given the strong monetization pre-announcement, or maintains a cautious posture — any upgrade would likely be the single biggest positive catalyst for the stock on results day.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FRE is the more reliable beat candidate — consensus at $1.16/share implies ~18% YoY growth and the pre-announced $900M+ in Q2 monetization income makes ANI the bigger swing factor; </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FRE per Share ($)</w:t>
            </w:r>
          </w:p>
        </w:tc>
        <w:tc>
          <w:tcPr>
            <w:tcW w:type="dxa" w:w="1234"/>
          </w:tcPr>
          <w:p>
            <w:r>
              <w:rPr>
                <w:rFonts w:ascii="Calibri" w:hAnsi="Calibri"/>
                <w:sz w:val="22"/>
              </w:rPr>
              <w:t>$1.13</w:t>
            </w:r>
          </w:p>
        </w:tc>
        <w:tc>
          <w:tcPr>
            <w:tcW w:type="dxa" w:w="1234"/>
          </w:tcPr>
          <w:p>
            <w:r>
              <w:rPr>
                <w:rFonts w:ascii="Calibri" w:hAnsi="Calibri"/>
                <w:sz w:val="22"/>
              </w:rPr>
              <w:t>$0.98</w:t>
            </w:r>
          </w:p>
        </w:tc>
        <w:tc>
          <w:tcPr>
            <w:tcW w:type="dxa" w:w="1234"/>
          </w:tcPr>
          <w:p>
            <w:r>
              <w:rPr>
                <w:rFonts w:ascii="Calibri" w:hAnsi="Calibri"/>
                <w:sz w:val="22"/>
              </w:rPr>
              <w:t>$1.16</w:t>
            </w:r>
          </w:p>
        </w:tc>
        <w:tc>
          <w:tcPr>
            <w:tcW w:type="dxa" w:w="1234"/>
          </w:tcPr>
          <w:p>
            <w:r>
              <w:rPr>
                <w:rFonts w:ascii="Calibri" w:hAnsi="Calibri"/>
                <w:b/>
                <w:color w:val="30A46C"/>
                <w:sz w:val="22"/>
              </w:rPr>
              <w:t>+18.4%</w:t>
            </w:r>
          </w:p>
        </w:tc>
        <w:tc>
          <w:tcPr>
            <w:tcW w:type="dxa" w:w="1234"/>
          </w:tcPr>
          <w:p>
            <w:r>
              <w:rPr>
                <w:rFonts w:ascii="Calibri" w:hAnsi="Calibri"/>
                <w:sz w:val="22"/>
              </w:rPr>
              <w:t>$4.50+ FY</w:t>
            </w:r>
          </w:p>
        </w:tc>
        <w:tc>
          <w:tcPr>
            <w:tcW w:type="dxa" w:w="1234"/>
          </w:tcPr>
          <w:p>
            <w:r>
              <w:rPr>
                <w:rFonts w:ascii="Calibri" w:hAnsi="Calibri"/>
                <w:sz w:val="22"/>
              </w:rPr>
              <w:t>~$4.83 FY cons. vs. $4.50 guide = +7.3%</w:t>
            </w:r>
          </w:p>
        </w:tc>
      </w:tr>
      <w:tr>
        <w:tc>
          <w:tcPr>
            <w:tcW w:type="dxa" w:w="1234"/>
          </w:tcPr>
          <w:p>
            <w:r>
              <w:rPr>
                <w:rFonts w:ascii="Calibri" w:hAnsi="Calibri"/>
                <w:sz w:val="22"/>
              </w:rPr>
              <w:t>ANI per Share ($)</w:t>
            </w:r>
          </w:p>
        </w:tc>
        <w:tc>
          <w:tcPr>
            <w:tcW w:type="dxa" w:w="1234"/>
          </w:tcPr>
          <w:p>
            <w:r>
              <w:rPr>
                <w:rFonts w:ascii="Calibri" w:hAnsi="Calibri"/>
                <w:sz w:val="22"/>
              </w:rPr>
              <w:t>$1.39</w:t>
            </w:r>
          </w:p>
        </w:tc>
        <w:tc>
          <w:tcPr>
            <w:tcW w:type="dxa" w:w="1234"/>
          </w:tcPr>
          <w:p>
            <w:r>
              <w:rPr>
                <w:rFonts w:ascii="Calibri" w:hAnsi="Calibri"/>
                <w:sz w:val="22"/>
              </w:rPr>
              <w:t>$1.18</w:t>
            </w:r>
          </w:p>
        </w:tc>
        <w:tc>
          <w:tcPr>
            <w:tcW w:type="dxa" w:w="1234"/>
          </w:tcPr>
          <w:p>
            <w:r>
              <w:rPr>
                <w:rFonts w:ascii="Calibri" w:hAnsi="Calibri"/>
                <w:sz w:val="22"/>
              </w:rPr>
              <w:t>$1.42</w:t>
            </w:r>
          </w:p>
        </w:tc>
        <w:tc>
          <w:tcPr>
            <w:tcW w:type="dxa" w:w="1234"/>
          </w:tcPr>
          <w:p>
            <w:r>
              <w:rPr>
                <w:rFonts w:ascii="Calibri" w:hAnsi="Calibri"/>
                <w:b/>
                <w:color w:val="30A46C"/>
                <w:sz w:val="22"/>
              </w:rPr>
              <w:t>+20.3%</w:t>
            </w:r>
          </w:p>
        </w:tc>
        <w:tc>
          <w:tcPr>
            <w:tcW w:type="dxa" w:w="1234"/>
          </w:tcPr>
          <w:p>
            <w:r>
              <w:rPr>
                <w:rFonts w:ascii="Calibri" w:hAnsi="Calibri"/>
                <w:sz w:val="22"/>
              </w:rPr>
              <w:t>Below $7.00 FY (softened)</w:t>
            </w:r>
          </w:p>
        </w:tc>
        <w:tc>
          <w:tcPr>
            <w:tcW w:type="dxa" w:w="1234"/>
          </w:tcPr>
          <w:p>
            <w:r>
              <w:rPr>
                <w:rFonts w:ascii="Calibri" w:hAnsi="Calibri"/>
                <w:sz w:val="22"/>
              </w:rPr>
              <w:t>~$6.09 FY cons. vs. &lt;$7.00 guide = cushion</w:t>
            </w:r>
          </w:p>
        </w:tc>
      </w:tr>
      <w:tr>
        <w:tc>
          <w:tcPr>
            <w:tcW w:type="dxa" w:w="1234"/>
          </w:tcPr>
          <w:p>
            <w:r>
              <w:rPr>
                <w:rFonts w:ascii="Calibri" w:hAnsi="Calibri"/>
                <w:sz w:val="22"/>
              </w:rPr>
              <w:t>Total Operating Earnings (TOE) per Share ($)</w:t>
            </w:r>
          </w:p>
        </w:tc>
        <w:tc>
          <w:tcPr>
            <w:tcW w:type="dxa" w:w="1234"/>
          </w:tcPr>
          <w:p>
            <w:r>
              <w:rPr>
                <w:rFonts w:ascii="Calibri" w:hAnsi="Calibri"/>
                <w:sz w:val="22"/>
              </w:rPr>
              <w:t>$1.47</w:t>
            </w:r>
          </w:p>
        </w:tc>
        <w:tc>
          <w:tcPr>
            <w:tcW w:type="dxa" w:w="1234"/>
          </w:tcPr>
          <w:p>
            <w:r>
              <w:rPr>
                <w:rFonts w:ascii="Calibri" w:hAnsi="Calibri"/>
                <w:sz w:val="22"/>
              </w:rPr>
              <w:t>$1.33</w:t>
            </w:r>
          </w:p>
        </w:tc>
        <w:tc>
          <w:tcPr>
            <w:tcW w:type="dxa" w:w="1234"/>
          </w:tcPr>
          <w:p>
            <w:r>
              <w:rPr>
                <w:rFonts w:ascii="Calibri" w:hAnsi="Calibri"/>
                <w:sz w:val="22"/>
              </w:rPr>
              <w:t>$1.51</w:t>
            </w:r>
          </w:p>
        </w:tc>
        <w:tc>
          <w:tcPr>
            <w:tcW w:type="dxa" w:w="1234"/>
          </w:tcPr>
          <w:p>
            <w:r>
              <w:rPr>
                <w:rFonts w:ascii="Calibri" w:hAnsi="Calibri"/>
                <w:b/>
                <w:color w:val="30A46C"/>
                <w:sz w:val="22"/>
              </w:rPr>
              <w:t>+13.5%</w:t>
            </w:r>
          </w:p>
        </w:tc>
        <w:tc>
          <w:tcPr>
            <w:tcW w:type="dxa" w:w="1234"/>
          </w:tcPr>
          <w:p>
            <w:r>
              <w:rPr>
                <w:rFonts w:ascii="Calibri" w:hAnsi="Calibri"/>
                <w:sz w:val="22"/>
              </w:rPr>
              <w:t>N/A (no explicit guidance)</w:t>
            </w:r>
          </w:p>
        </w:tc>
        <w:tc>
          <w:tcPr>
            <w:tcW w:type="dxa" w:w="1234"/>
          </w:tcPr>
          <w:p>
            <w:r>
              <w:rPr>
                <w:rFonts w:ascii="Calibri" w:hAnsi="Calibri"/>
                <w:sz w:val="22"/>
              </w:rPr>
              <w:t>N/A</w:t>
            </w:r>
          </w:p>
        </w:tc>
      </w:tr>
      <w:tr>
        <w:tc>
          <w:tcPr>
            <w:tcW w:type="dxa" w:w="1234"/>
          </w:tcPr>
          <w:p>
            <w:r>
              <w:rPr>
                <w:rFonts w:ascii="Calibri" w:hAnsi="Calibri"/>
                <w:sz w:val="22"/>
              </w:rPr>
              <w:t>Fee-Related Earnings ($M)</w:t>
            </w:r>
          </w:p>
        </w:tc>
        <w:tc>
          <w:tcPr>
            <w:tcW w:type="dxa" w:w="1234"/>
          </w:tcPr>
          <w:p>
            <w:r>
              <w:rPr>
                <w:rFonts w:ascii="Calibri" w:hAnsi="Calibri"/>
                <w:sz w:val="22"/>
              </w:rPr>
              <w:t>$1,016</w:t>
            </w:r>
          </w:p>
        </w:tc>
        <w:tc>
          <w:tcPr>
            <w:tcW w:type="dxa" w:w="1234"/>
          </w:tcPr>
          <w:p>
            <w:r>
              <w:rPr>
                <w:rFonts w:ascii="Calibri" w:hAnsi="Calibri"/>
                <w:sz w:val="22"/>
              </w:rPr>
              <w:t>$887</w:t>
            </w:r>
          </w:p>
        </w:tc>
        <w:tc>
          <w:tcPr>
            <w:tcW w:type="dxa" w:w="1234"/>
          </w:tcPr>
          <w:p>
            <w:r>
              <w:rPr>
                <w:rFonts w:ascii="Calibri" w:hAnsi="Calibri"/>
                <w:sz w:val="22"/>
              </w:rPr>
              <w:t>$1,072</w:t>
            </w:r>
          </w:p>
        </w:tc>
        <w:tc>
          <w:tcPr>
            <w:tcW w:type="dxa" w:w="1234"/>
          </w:tcPr>
          <w:p>
            <w:r>
              <w:rPr>
                <w:rFonts w:ascii="Calibri" w:hAnsi="Calibri"/>
                <w:b/>
                <w:color w:val="30A46C"/>
                <w:sz w:val="22"/>
              </w:rPr>
              <w:t>+20.9%</w:t>
            </w:r>
          </w:p>
        </w:tc>
        <w:tc>
          <w:tcPr>
            <w:tcW w:type="dxa" w:w="1234"/>
          </w:tcPr>
          <w:p>
            <w:r>
              <w:rPr>
                <w:rFonts w:ascii="Calibri" w:hAnsi="Calibri"/>
                <w:sz w:val="22"/>
              </w:rPr>
              <w:t>N/A (per-share guided)</w:t>
            </w:r>
          </w:p>
        </w:tc>
        <w:tc>
          <w:tcPr>
            <w:tcW w:type="dxa" w:w="1234"/>
          </w:tcPr>
          <w:p>
            <w:r>
              <w:rPr>
                <w:rFonts w:ascii="Calibri" w:hAnsi="Calibri"/>
                <w:sz w:val="22"/>
              </w:rPr>
              <w:t>N/A</w:t>
            </w:r>
          </w:p>
        </w:tc>
      </w:tr>
      <w:tr>
        <w:tc>
          <w:tcPr>
            <w:tcW w:type="dxa" w:w="1234"/>
          </w:tcPr>
          <w:p>
            <w:r>
              <w:rPr>
                <w:rFonts w:ascii="Calibri" w:hAnsi="Calibri"/>
                <w:sz w:val="22"/>
              </w:rPr>
              <w:t>Management Fees ($M)</w:t>
            </w:r>
          </w:p>
        </w:tc>
        <w:tc>
          <w:tcPr>
            <w:tcW w:type="dxa" w:w="1234"/>
          </w:tcPr>
          <w:p>
            <w:r>
              <w:rPr>
                <w:rFonts w:ascii="Calibri" w:hAnsi="Calibri"/>
                <w:sz w:val="22"/>
              </w:rPr>
              <w:t>$1,193</w:t>
            </w:r>
          </w:p>
        </w:tc>
        <w:tc>
          <w:tcPr>
            <w:tcW w:type="dxa" w:w="1234"/>
          </w:tcPr>
          <w:p>
            <w:r>
              <w:rPr>
                <w:rFonts w:ascii="Calibri" w:hAnsi="Calibri"/>
                <w:sz w:val="22"/>
              </w:rPr>
              <w:t>$996</w:t>
            </w:r>
          </w:p>
        </w:tc>
        <w:tc>
          <w:tcPr>
            <w:tcW w:type="dxa" w:w="1234"/>
          </w:tcPr>
          <w:p>
            <w:r>
              <w:rPr>
                <w:rFonts w:ascii="Calibri" w:hAnsi="Calibri"/>
                <w:sz w:val="22"/>
              </w:rPr>
              <w:t>$1,184</w:t>
            </w:r>
          </w:p>
        </w:tc>
        <w:tc>
          <w:tcPr>
            <w:tcW w:type="dxa" w:w="1234"/>
          </w:tcPr>
          <w:p>
            <w:r>
              <w:rPr>
                <w:rFonts w:ascii="Calibri" w:hAnsi="Calibri"/>
                <w:b/>
                <w:color w:val="30A46C"/>
                <w:sz w:val="22"/>
              </w:rPr>
              <w:t>+18.9%</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Insurance Operating Earnings ($M)</w:t>
            </w:r>
          </w:p>
        </w:tc>
        <w:tc>
          <w:tcPr>
            <w:tcW w:type="dxa" w:w="1234"/>
          </w:tcPr>
          <w:p>
            <w:r>
              <w:rPr>
                <w:rFonts w:ascii="Calibri" w:hAnsi="Calibri"/>
                <w:sz w:val="22"/>
              </w:rPr>
              <w:t>$260</w:t>
            </w:r>
          </w:p>
        </w:tc>
        <w:tc>
          <w:tcPr>
            <w:tcW w:type="dxa" w:w="1234"/>
          </w:tcPr>
          <w:p>
            <w:r>
              <w:rPr>
                <w:rFonts w:ascii="Calibri" w:hAnsi="Calibri"/>
                <w:sz w:val="22"/>
              </w:rPr>
              <w:t>$278</w:t>
            </w:r>
          </w:p>
        </w:tc>
        <w:tc>
          <w:tcPr>
            <w:tcW w:type="dxa" w:w="1234"/>
          </w:tcPr>
          <w:p>
            <w:r>
              <w:rPr>
                <w:rFonts w:ascii="Calibri" w:hAnsi="Calibri"/>
                <w:sz w:val="22"/>
              </w:rPr>
              <w:t>$264</w:t>
            </w:r>
          </w:p>
        </w:tc>
        <w:tc>
          <w:tcPr>
            <w:tcW w:type="dxa" w:w="1234"/>
          </w:tcPr>
          <w:p>
            <w:r>
              <w:rPr>
                <w:rFonts w:ascii="Calibri" w:hAnsi="Calibri"/>
                <w:b/>
                <w:color w:val="E5484D"/>
                <w:sz w:val="22"/>
              </w:rPr>
              <w:t>-5.0%</w:t>
            </w:r>
          </w:p>
        </w:tc>
        <w:tc>
          <w:tcPr>
            <w:tcW w:type="dxa" w:w="1234"/>
          </w:tcPr>
          <w:p>
            <w:r>
              <w:rPr>
                <w:rFonts w:ascii="Calibri" w:hAnsi="Calibri"/>
                <w:sz w:val="22"/>
              </w:rPr>
              <w:t>~$1.0B FY</w:t>
            </w:r>
          </w:p>
        </w:tc>
        <w:tc>
          <w:tcPr>
            <w:tcW w:type="dxa" w:w="1234"/>
          </w:tcPr>
          <w:p>
            <w:r>
              <w:rPr>
                <w:rFonts w:ascii="Calibri" w:hAnsi="Calibri"/>
                <w:sz w:val="22"/>
              </w:rPr>
              <w:t>~$1.08B FY cons. vs. $1.0B guide = +7.5%</w:t>
            </w:r>
          </w:p>
        </w:tc>
      </w:tr>
      <w:tr>
        <w:tc>
          <w:tcPr>
            <w:tcW w:type="dxa" w:w="1234"/>
          </w:tcPr>
          <w:p>
            <w:r>
              <w:rPr>
                <w:rFonts w:ascii="Calibri" w:hAnsi="Calibri"/>
                <w:sz w:val="22"/>
              </w:rPr>
              <w:t>Strategic Holdings Op. Earnings ($M)</w:t>
            </w:r>
          </w:p>
        </w:tc>
        <w:tc>
          <w:tcPr>
            <w:tcW w:type="dxa" w:w="1234"/>
          </w:tcPr>
          <w:p>
            <w:r>
              <w:rPr>
                <w:rFonts w:ascii="Calibri" w:hAnsi="Calibri"/>
                <w:sz w:val="22"/>
              </w:rPr>
              <w:t>$48</w:t>
            </w:r>
          </w:p>
        </w:tc>
        <w:tc>
          <w:tcPr>
            <w:tcW w:type="dxa" w:w="1234"/>
          </w:tcPr>
          <w:p>
            <w:r>
              <w:rPr>
                <w:rFonts w:ascii="Calibri" w:hAnsi="Calibri"/>
                <w:sz w:val="22"/>
              </w:rPr>
              <w:t>$29</w:t>
            </w:r>
          </w:p>
        </w:tc>
        <w:tc>
          <w:tcPr>
            <w:tcW w:type="dxa" w:w="1234"/>
          </w:tcPr>
          <w:p>
            <w:r>
              <w:rPr>
                <w:rFonts w:ascii="Calibri" w:hAnsi="Calibri"/>
                <w:sz w:val="22"/>
              </w:rPr>
              <w:t>$53</w:t>
            </w:r>
          </w:p>
        </w:tc>
        <w:tc>
          <w:tcPr>
            <w:tcW w:type="dxa" w:w="1234"/>
          </w:tcPr>
          <w:p>
            <w:r>
              <w:rPr>
                <w:rFonts w:ascii="Calibri" w:hAnsi="Calibri"/>
                <w:b/>
                <w:color w:val="30A46C"/>
                <w:sz w:val="22"/>
              </w:rPr>
              <w:t>+82.8%</w:t>
            </w:r>
          </w:p>
        </w:tc>
        <w:tc>
          <w:tcPr>
            <w:tcW w:type="dxa" w:w="1234"/>
          </w:tcPr>
          <w:p>
            <w:r>
              <w:rPr>
                <w:rFonts w:ascii="Calibri" w:hAnsi="Calibri"/>
                <w:sz w:val="22"/>
              </w:rPr>
              <w:t>$350M+ FY</w:t>
            </w:r>
          </w:p>
        </w:tc>
        <w:tc>
          <w:tcPr>
            <w:tcW w:type="dxa" w:w="1234"/>
          </w:tcPr>
          <w:p>
            <w:r>
              <w:rPr>
                <w:rFonts w:ascii="Calibri" w:hAnsi="Calibri"/>
                <w:sz w:val="22"/>
              </w:rPr>
              <w:t>~$348M FY cons. vs. $350M guide = -0.6%</w:t>
            </w:r>
          </w:p>
        </w:tc>
      </w:tr>
      <w:tr>
        <w:tc>
          <w:tcPr>
            <w:tcW w:type="dxa" w:w="1234"/>
          </w:tcPr>
          <w:p>
            <w:r>
              <w:rPr>
                <w:rFonts w:ascii="Calibri" w:hAnsi="Calibri"/>
                <w:sz w:val="22"/>
              </w:rPr>
              <w:t>AUM — End of Period ($B)</w:t>
            </w:r>
          </w:p>
        </w:tc>
        <w:tc>
          <w:tcPr>
            <w:tcW w:type="dxa" w:w="1234"/>
          </w:tcPr>
          <w:p>
            <w:r>
              <w:rPr>
                <w:rFonts w:ascii="Calibri" w:hAnsi="Calibri"/>
                <w:sz w:val="22"/>
              </w:rPr>
              <w:t>$758</w:t>
            </w:r>
          </w:p>
        </w:tc>
        <w:tc>
          <w:tcPr>
            <w:tcW w:type="dxa" w:w="1234"/>
          </w:tcPr>
          <w:p>
            <w:r>
              <w:rPr>
                <w:rFonts w:ascii="Calibri" w:hAnsi="Calibri"/>
                <w:sz w:val="22"/>
              </w:rPr>
              <w:t>$686</w:t>
            </w:r>
          </w:p>
        </w:tc>
        <w:tc>
          <w:tcPr>
            <w:tcW w:type="dxa" w:w="1234"/>
          </w:tcPr>
          <w:p>
            <w:r>
              <w:rPr>
                <w:rFonts w:ascii="Calibri" w:hAnsi="Calibri"/>
                <w:sz w:val="22"/>
              </w:rPr>
              <w:t>$788</w:t>
            </w:r>
          </w:p>
        </w:tc>
        <w:tc>
          <w:tcPr>
            <w:tcW w:type="dxa" w:w="1234"/>
          </w:tcPr>
          <w:p>
            <w:r>
              <w:rPr>
                <w:rFonts w:ascii="Calibri" w:hAnsi="Calibri"/>
                <w:b/>
                <w:color w:val="30A46C"/>
                <w:sz w:val="22"/>
              </w:rPr>
              <w:t>+14.9%</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Dry Powder ($B)</w:t>
            </w:r>
          </w:p>
        </w:tc>
        <w:tc>
          <w:tcPr>
            <w:tcW w:type="dxa" w:w="1234"/>
          </w:tcPr>
          <w:p>
            <w:r>
              <w:rPr>
                <w:rFonts w:ascii="Calibri" w:hAnsi="Calibri"/>
                <w:sz w:val="22"/>
              </w:rPr>
              <w:t>$125</w:t>
            </w:r>
          </w:p>
        </w:tc>
        <w:tc>
          <w:tcPr>
            <w:tcW w:type="dxa" w:w="1234"/>
          </w:tcPr>
          <w:p>
            <w:r>
              <w:rPr>
                <w:rFonts w:ascii="Calibri" w:hAnsi="Calibri"/>
                <w:sz w:val="22"/>
              </w:rPr>
              <w:t>$115</w:t>
            </w:r>
          </w:p>
        </w:tc>
        <w:tc>
          <w:tcPr>
            <w:tcW w:type="dxa" w:w="1234"/>
          </w:tcPr>
          <w:p>
            <w:r>
              <w:rPr>
                <w:rFonts w:ascii="Calibri" w:hAnsi="Calibri"/>
                <w:sz w:val="22"/>
              </w:rPr>
              <w:t>$126</w:t>
            </w:r>
          </w:p>
        </w:tc>
        <w:tc>
          <w:tcPr>
            <w:tcW w:type="dxa" w:w="1234"/>
          </w:tcPr>
          <w:p>
            <w:r>
              <w:rPr>
                <w:rFonts w:ascii="Calibri" w:hAnsi="Calibri"/>
                <w:b/>
                <w:color w:val="30A46C"/>
                <w:sz w:val="22"/>
              </w:rPr>
              <w:t>+9.6%</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b/>
          <w:color w:val="525866"/>
          <w:sz w:val="22"/>
        </w:rPr>
        <w:t xml:space="preserve">Key Takeaway: </w:t>
      </w:r>
      <w:r>
        <w:rPr>
          <w:rFonts w:ascii="Calibri" w:hAnsi="Calibri"/>
          <w:color w:val="525866"/>
          <w:sz w:val="22"/>
        </w:rPr>
        <w:t xml:space="preserve">Consensus is a moderate bar on FRE (achievable given the pre-announcement) but a higher bar on ANI given the $900M+ monetization pre-announcement; </w:t>
      </w:r>
    </w:p>
    <w:p>
      <w:r>
        <w:rPr>
          <w:rFonts w:ascii="Calibri" w:hAnsi="Calibri"/>
          <w:color w:val="525866"/>
          <w:sz w:val="22"/>
        </w:rPr>
        <w:t>Source: Visible Alpha consensus data. All per-share figures are on an adjusted/after-tax basis. Q2 2026 consensus as of July 29, 2026.</w:t>
      </w:r>
    </w:p>
    <w:p>
      <w:pPr>
        <w:pStyle w:val="Heading3"/>
      </w:pPr>
      <w:r>
        <w:rPr>
          <w:rFonts w:ascii="Calibri" w:hAnsi="Calibri"/>
          <w:b/>
          <w:color w:val="3B4259"/>
          <w:sz w:val="24"/>
        </w:rPr>
        <w:t>Table 2 — Beat / Miss History (Last 8 Quarters, Top 2 KPIs)</w:t>
      </w:r>
    </w:p>
    <w:p>
      <w:r>
        <w:rPr>
          <w:rFonts w:ascii="Calibri" w:hAnsi="Calibri"/>
          <w:b/>
          <w:color w:val="525866"/>
          <w:sz w:val="22"/>
        </w:rPr>
        <w:t>KPI 1: FRE per Share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$0.84</w:t>
            </w:r>
          </w:p>
        </w:tc>
        <w:tc>
          <w:tcPr>
            <w:tcW w:type="dxa" w:w="1728"/>
          </w:tcPr>
          <w:p>
            <w:r>
              <w:rPr>
                <w:rFonts w:ascii="Calibri" w:hAnsi="Calibri"/>
                <w:sz w:val="22"/>
              </w:rPr>
              <w:t>$0.82</w:t>
            </w:r>
          </w:p>
        </w:tc>
        <w:tc>
          <w:tcPr>
            <w:tcW w:type="dxa" w:w="1728"/>
          </w:tcPr>
          <w:p>
            <w:r>
              <w:rPr>
                <w:rFonts w:ascii="Calibri" w:hAnsi="Calibri"/>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$1.12</w:t>
            </w:r>
          </w:p>
        </w:tc>
        <w:tc>
          <w:tcPr>
            <w:tcW w:type="dxa" w:w="1728"/>
          </w:tcPr>
          <w:p>
            <w:r>
              <w:rPr>
                <w:rFonts w:ascii="Calibri" w:hAnsi="Calibri"/>
                <w:sz w:val="22"/>
              </w:rPr>
              <w:t>$0.95</w:t>
            </w:r>
          </w:p>
        </w:tc>
        <w:tc>
          <w:tcPr>
            <w:tcW w:type="dxa" w:w="1728"/>
          </w:tcPr>
          <w:p>
            <w:r>
              <w:rPr>
                <w:rFonts w:ascii="Calibri" w:hAnsi="Calibri"/>
                <w:sz w:val="22"/>
              </w:rPr>
              <w:t>+17.5%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$0.94</w:t>
            </w:r>
          </w:p>
        </w:tc>
        <w:tc>
          <w:tcPr>
            <w:tcW w:type="dxa" w:w="1728"/>
          </w:tcPr>
          <w:p>
            <w:r>
              <w:rPr>
                <w:rFonts w:ascii="Calibri" w:hAnsi="Calibri"/>
                <w:sz w:val="22"/>
              </w:rPr>
              <w:t>$0.94</w:t>
            </w:r>
          </w:p>
        </w:tc>
        <w:tc>
          <w:tcPr>
            <w:tcW w:type="dxa" w:w="1728"/>
          </w:tcPr>
          <w:p>
            <w:r>
              <w:rPr>
                <w:rFonts w:ascii="Calibri" w:hAnsi="Calibri"/>
                <w:sz w:val="22"/>
              </w:rPr>
              <w:t>+0.5%</w:t>
            </w:r>
          </w:p>
        </w:tc>
        <w:tc>
          <w:tcPr>
            <w:tcW w:type="dxa" w:w="1728"/>
          </w:tcPr>
          <w:p>
            <w:r>
              <w:rPr>
                <w:rFonts w:ascii="Calibri" w:hAnsi="Calibri"/>
                <w:sz w:val="22"/>
              </w:rPr>
              <w:t>In-Line</w:t>
            </w:r>
          </w:p>
        </w:tc>
      </w:tr>
      <w:tr>
        <w:tc>
          <w:tcPr>
            <w:tcW w:type="dxa" w:w="1728"/>
          </w:tcPr>
          <w:p>
            <w:r>
              <w:rPr>
                <w:rFonts w:ascii="Calibri" w:hAnsi="Calibri"/>
                <w:sz w:val="22"/>
              </w:rPr>
              <w:t>Q1 2025</w:t>
            </w:r>
          </w:p>
        </w:tc>
        <w:tc>
          <w:tcPr>
            <w:tcW w:type="dxa" w:w="1728"/>
          </w:tcPr>
          <w:p>
            <w:r>
              <w:rPr>
                <w:rFonts w:ascii="Calibri" w:hAnsi="Calibri"/>
                <w:sz w:val="22"/>
              </w:rPr>
              <w:t>$0.92</w:t>
            </w:r>
          </w:p>
        </w:tc>
        <w:tc>
          <w:tcPr>
            <w:tcW w:type="dxa" w:w="1728"/>
          </w:tcPr>
          <w:p>
            <w:r>
              <w:rPr>
                <w:rFonts w:ascii="Calibri" w:hAnsi="Calibri"/>
                <w:sz w:val="22"/>
              </w:rPr>
              <w:t>$0.92</w:t>
            </w:r>
          </w:p>
        </w:tc>
        <w:tc>
          <w:tcPr>
            <w:tcW w:type="dxa" w:w="1728"/>
          </w:tcPr>
          <w:p>
            <w:r>
              <w:rPr>
                <w:rFonts w:ascii="Calibri" w:hAnsi="Calibri"/>
                <w:sz w:val="22"/>
              </w:rPr>
              <w:t>+0.5%</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$0.98</w:t>
            </w:r>
          </w:p>
        </w:tc>
        <w:tc>
          <w:tcPr>
            <w:tcW w:type="dxa" w:w="1728"/>
          </w:tcPr>
          <w:p>
            <w:r>
              <w:rPr>
                <w:rFonts w:ascii="Calibri" w:hAnsi="Calibri"/>
                <w:sz w:val="22"/>
              </w:rPr>
              <w:t>$0.97</w:t>
            </w:r>
          </w:p>
        </w:tc>
        <w:tc>
          <w:tcPr>
            <w:tcW w:type="dxa" w:w="1728"/>
          </w:tcPr>
          <w:p>
            <w:r>
              <w:rPr>
                <w:rFonts w:ascii="Calibri" w:hAnsi="Calibri"/>
                <w:sz w:val="22"/>
              </w:rPr>
              <w:t>+0.6%</w:t>
            </w:r>
          </w:p>
        </w:tc>
        <w:tc>
          <w:tcPr>
            <w:tcW w:type="dxa" w:w="1728"/>
          </w:tcPr>
          <w:p>
            <w:r>
              <w:rPr>
                <w:rFonts w:ascii="Calibri" w:hAnsi="Calibri"/>
                <w:sz w:val="22"/>
              </w:rPr>
              <w:t>In-Line</w:t>
            </w:r>
          </w:p>
        </w:tc>
      </w:tr>
      <w:tr>
        <w:tc>
          <w:tcPr>
            <w:tcW w:type="dxa" w:w="1728"/>
          </w:tcPr>
          <w:p>
            <w:r>
              <w:rPr>
                <w:rFonts w:ascii="Calibri" w:hAnsi="Calibri"/>
                <w:sz w:val="22"/>
              </w:rPr>
              <w:t>Q3 2025</w:t>
            </w:r>
          </w:p>
        </w:tc>
        <w:tc>
          <w:tcPr>
            <w:tcW w:type="dxa" w:w="1728"/>
          </w:tcPr>
          <w:p>
            <w:r>
              <w:rPr>
                <w:rFonts w:ascii="Calibri" w:hAnsi="Calibri"/>
                <w:sz w:val="22"/>
              </w:rPr>
              <w:t>$1.15</w:t>
            </w:r>
          </w:p>
        </w:tc>
        <w:tc>
          <w:tcPr>
            <w:tcW w:type="dxa" w:w="1728"/>
          </w:tcPr>
          <w:p>
            <w:r>
              <w:rPr>
                <w:rFonts w:ascii="Calibri" w:hAnsi="Calibri"/>
                <w:sz w:val="22"/>
              </w:rPr>
              <w:t>$1.07</w:t>
            </w:r>
          </w:p>
        </w:tc>
        <w:tc>
          <w:tcPr>
            <w:tcW w:type="dxa" w:w="1728"/>
          </w:tcPr>
          <w:p>
            <w:r>
              <w:rPr>
                <w:rFonts w:ascii="Calibri" w:hAnsi="Calibri"/>
                <w:sz w:val="22"/>
              </w:rPr>
              <w:t>+7.9%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$1.08</w:t>
            </w:r>
          </w:p>
        </w:tc>
        <w:tc>
          <w:tcPr>
            <w:tcW w:type="dxa" w:w="1728"/>
          </w:tcPr>
          <w:p>
            <w:r>
              <w:rPr>
                <w:rFonts w:ascii="Calibri" w:hAnsi="Calibri"/>
                <w:sz w:val="22"/>
              </w:rPr>
              <w:t>$1.09</w:t>
            </w:r>
          </w:p>
        </w:tc>
        <w:tc>
          <w:tcPr>
            <w:tcW w:type="dxa" w:w="1728"/>
          </w:tcPr>
          <w:p>
            <w:r>
              <w:rPr>
                <w:rFonts w:ascii="Calibri" w:hAnsi="Calibri"/>
                <w:sz w:val="22"/>
              </w:rPr>
              <w:t>-0.8%</w:t>
            </w:r>
          </w:p>
        </w:tc>
        <w:tc>
          <w:tcPr>
            <w:tcW w:type="dxa" w:w="1728"/>
          </w:tcPr>
          <w:p>
            <w:r>
              <w:rPr>
                <w:rFonts w:ascii="Calibri" w:hAnsi="Calibri"/>
                <w:sz w:val="22"/>
              </w:rPr>
              <w:t>Miss</w:t>
            </w:r>
          </w:p>
        </w:tc>
      </w:tr>
      <w:tr>
        <w:tc>
          <w:tcPr>
            <w:tcW w:type="dxa" w:w="1728"/>
          </w:tcPr>
          <w:p>
            <w:r>
              <w:rPr>
                <w:rFonts w:ascii="Calibri" w:hAnsi="Calibri"/>
                <w:sz w:val="22"/>
              </w:rPr>
              <w:t>Q1 2026</w:t>
            </w:r>
          </w:p>
        </w:tc>
        <w:tc>
          <w:tcPr>
            <w:tcW w:type="dxa" w:w="1728"/>
          </w:tcPr>
          <w:p>
            <w:r>
              <w:rPr>
                <w:rFonts w:ascii="Calibri" w:hAnsi="Calibri"/>
                <w:sz w:val="22"/>
              </w:rPr>
              <w:t>$1.13</w:t>
            </w:r>
          </w:p>
        </w:tc>
        <w:tc>
          <w:tcPr>
            <w:tcW w:type="dxa" w:w="1728"/>
          </w:tcPr>
          <w:p>
            <w:r>
              <w:rPr>
                <w:rFonts w:ascii="Calibri" w:hAnsi="Calibri"/>
                <w:sz w:val="22"/>
              </w:rPr>
              <w:t>$1.09</w:t>
            </w:r>
          </w:p>
        </w:tc>
        <w:tc>
          <w:tcPr>
            <w:tcW w:type="dxa" w:w="1728"/>
          </w:tcPr>
          <w:p>
            <w:r>
              <w:rPr>
                <w:rFonts w:ascii="Calibri" w:hAnsi="Calibri"/>
                <w:sz w:val="22"/>
              </w:rPr>
              <w:t>+3.5%</w:t>
            </w:r>
          </w:p>
        </w:tc>
        <w:tc>
          <w:tcPr>
            <w:tcW w:type="dxa" w:w="1728"/>
          </w:tcPr>
          <w:p>
            <w:r>
              <w:rPr>
                <w:rFonts w:ascii="Calibri" w:hAnsi="Calibri"/>
                <w:b/>
                <w:color w:val="30A46C"/>
                <w:sz w:val="22"/>
              </w:rPr>
              <w:t>Beat</w:t>
            </w:r>
          </w:p>
        </w:tc>
      </w:tr>
    </w:tbl>
    <w:p>
      <w:r>
        <w:rPr>
          <w:rFonts w:ascii="Calibri" w:hAnsi="Calibri"/>
          <w:b/>
          <w:color w:val="525866"/>
          <w:sz w:val="22"/>
        </w:rPr>
        <w:t>KPI 2: ANI per Share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$1.09</w:t>
            </w:r>
          </w:p>
        </w:tc>
        <w:tc>
          <w:tcPr>
            <w:tcW w:type="dxa" w:w="1728"/>
          </w:tcPr>
          <w:p>
            <w:r>
              <w:rPr>
                <w:rFonts w:ascii="Calibri" w:hAnsi="Calibri"/>
                <w:sz w:val="22"/>
              </w:rPr>
              <w:t>$1.05</w:t>
            </w:r>
          </w:p>
        </w:tc>
        <w:tc>
          <w:tcPr>
            <w:tcW w:type="dxa" w:w="1728"/>
          </w:tcPr>
          <w:p>
            <w:r>
              <w:rPr>
                <w:rFonts w:ascii="Calibri" w:hAnsi="Calibri"/>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$1.32</w:t>
            </w:r>
          </w:p>
        </w:tc>
        <w:tc>
          <w:tcPr>
            <w:tcW w:type="dxa" w:w="1728"/>
          </w:tcPr>
          <w:p>
            <w:r>
              <w:rPr>
                <w:rFonts w:ascii="Calibri" w:hAnsi="Calibri"/>
                <w:sz w:val="22"/>
              </w:rPr>
              <w:t>$1.20</w:t>
            </w:r>
          </w:p>
        </w:tc>
        <w:tc>
          <w:tcPr>
            <w:tcW w:type="dxa" w:w="1728"/>
          </w:tcPr>
          <w:p>
            <w:r>
              <w:rPr>
                <w:rFonts w:ascii="Calibri" w:hAnsi="Calibri"/>
                <w:sz w:val="22"/>
              </w:rPr>
              <w:t>+10.0%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$1.32</w:t>
            </w:r>
          </w:p>
        </w:tc>
        <w:tc>
          <w:tcPr>
            <w:tcW w:type="dxa" w:w="1728"/>
          </w:tcPr>
          <w:p>
            <w:r>
              <w:rPr>
                <w:rFonts w:ascii="Calibri" w:hAnsi="Calibri"/>
                <w:sz w:val="22"/>
              </w:rPr>
              <w:t>$1.28</w:t>
            </w:r>
          </w:p>
        </w:tc>
        <w:tc>
          <w:tcPr>
            <w:tcW w:type="dxa" w:w="1728"/>
          </w:tcPr>
          <w:p>
            <w:r>
              <w:rPr>
                <w:rFonts w:ascii="Calibri" w:hAnsi="Calibri"/>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$1.15</w:t>
            </w:r>
          </w:p>
        </w:tc>
        <w:tc>
          <w:tcPr>
            <w:tcW w:type="dxa" w:w="1728"/>
          </w:tcPr>
          <w:p>
            <w:r>
              <w:rPr>
                <w:rFonts w:ascii="Calibri" w:hAnsi="Calibri"/>
                <w:sz w:val="22"/>
              </w:rPr>
              <w:t>$1.14</w:t>
            </w:r>
          </w:p>
        </w:tc>
        <w:tc>
          <w:tcPr>
            <w:tcW w:type="dxa" w:w="1728"/>
          </w:tcPr>
          <w:p>
            <w:r>
              <w:rPr>
                <w:rFonts w:ascii="Calibri" w:hAnsi="Calibri"/>
                <w:sz w:val="22"/>
              </w:rPr>
              <w:t>+1.3%</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$1.18</w:t>
            </w:r>
          </w:p>
        </w:tc>
        <w:tc>
          <w:tcPr>
            <w:tcW w:type="dxa" w:w="1728"/>
          </w:tcPr>
          <w:p>
            <w:r>
              <w:rPr>
                <w:rFonts w:ascii="Calibri" w:hAnsi="Calibri"/>
                <w:sz w:val="22"/>
              </w:rPr>
              <w:t>$1.13</w:t>
            </w:r>
          </w:p>
        </w:tc>
        <w:tc>
          <w:tcPr>
            <w:tcW w:type="dxa" w:w="1728"/>
          </w:tcPr>
          <w:p>
            <w:r>
              <w:rPr>
                <w:rFonts w:ascii="Calibri" w:hAnsi="Calibri"/>
                <w:sz w:val="22"/>
              </w:rPr>
              <w:t>+4.4%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$1.41</w:t>
            </w:r>
          </w:p>
        </w:tc>
        <w:tc>
          <w:tcPr>
            <w:tcW w:type="dxa" w:w="1728"/>
          </w:tcPr>
          <w:p>
            <w:r>
              <w:rPr>
                <w:rFonts w:ascii="Calibri" w:hAnsi="Calibri"/>
                <w:sz w:val="22"/>
              </w:rPr>
              <w:t>$1.30</w:t>
            </w:r>
          </w:p>
        </w:tc>
        <w:tc>
          <w:tcPr>
            <w:tcW w:type="dxa" w:w="1728"/>
          </w:tcPr>
          <w:p>
            <w:r>
              <w:rPr>
                <w:rFonts w:ascii="Calibri" w:hAnsi="Calibri"/>
                <w:sz w:val="22"/>
              </w:rPr>
              <w:t>+8.8%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$1.12</w:t>
            </w:r>
          </w:p>
        </w:tc>
        <w:tc>
          <w:tcPr>
            <w:tcW w:type="dxa" w:w="1728"/>
          </w:tcPr>
          <w:p>
            <w:r>
              <w:rPr>
                <w:rFonts w:ascii="Calibri" w:hAnsi="Calibri"/>
                <w:sz w:val="22"/>
              </w:rPr>
              <w:t>$1.16</w:t>
            </w:r>
          </w:p>
        </w:tc>
        <w:tc>
          <w:tcPr>
            <w:tcW w:type="dxa" w:w="1728"/>
          </w:tcPr>
          <w:p>
            <w:r>
              <w:rPr>
                <w:rFonts w:ascii="Calibri" w:hAnsi="Calibri"/>
                <w:sz w:val="22"/>
              </w:rPr>
              <w:t>-3.4%</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$1.39</w:t>
            </w:r>
          </w:p>
        </w:tc>
        <w:tc>
          <w:tcPr>
            <w:tcW w:type="dxa" w:w="1728"/>
          </w:tcPr>
          <w:p>
            <w:r>
              <w:rPr>
                <w:rFonts w:ascii="Calibri" w:hAnsi="Calibri"/>
                <w:sz w:val="22"/>
              </w:rPr>
              <w:t>$1.26</w:t>
            </w:r>
          </w:p>
        </w:tc>
        <w:tc>
          <w:tcPr>
            <w:tcW w:type="dxa" w:w="1728"/>
          </w:tcPr>
          <w:p>
            <w:r>
              <w:rPr>
                <w:rFonts w:ascii="Calibri" w:hAnsi="Calibri"/>
                <w:sz w:val="22"/>
              </w:rPr>
              <w:t>+10.3%</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KKR has beaten FRE consensus in 5 of the last 8 quarters and ANI in 6 of 8, with the misses concentrated in Q4 2025 when monetization timing disappointed — the pre-announced $900M+ in Q2 monetization income suggests the pattern of ANI beats is likely to resume.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posture has shifted from cautious (Q1 call softened ANI to "below $7") to constructive — the July 1 monetization pre-announcement signals Q2 is tracking well above the implied quarterly run-rate, though no formal guidance upgrade has been issued; FRE guidance remains firmly intact.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FRE per Share — FY 2026</w:t>
            </w:r>
          </w:p>
        </w:tc>
        <w:tc>
          <w:tcPr>
            <w:tcW w:type="dxa" w:w="1728"/>
          </w:tcPr>
          <w:p>
            <w:r>
              <w:rPr>
                <w:rFonts w:ascii="Calibri" w:hAnsi="Calibri"/>
                <w:sz w:val="22"/>
              </w:rPr>
              <w:t>$4.50+ (reaffirmed with "unreserved yes")</w:t>
            </w:r>
          </w:p>
        </w:tc>
        <w:tc>
          <w:tcPr>
            <w:tcW w:type="dxa" w:w="1728"/>
          </w:tcPr>
          <w:p>
            <w:r>
              <w:rPr>
                <w:rFonts w:ascii="Calibri" w:hAnsi="Calibri"/>
                <w:sz w:val="22"/>
              </w:rPr>
              <w:t>—</w:t>
            </w:r>
          </w:p>
        </w:tc>
        <w:tc>
          <w:tcPr>
            <w:tcW w:type="dxa" w:w="1728"/>
          </w:tcPr>
          <w:p>
            <w:r>
              <w:rPr>
                <w:rFonts w:ascii="Calibri" w:hAnsi="Calibri"/>
                <w:sz w:val="22"/>
              </w:rPr>
              <w:t>$4.83</w:t>
            </w:r>
          </w:p>
        </w:tc>
        <w:tc>
          <w:tcPr>
            <w:tcW w:type="dxa" w:w="1728"/>
          </w:tcPr>
          <w:p>
            <w:r>
              <w:rPr>
                <w:rFonts w:ascii="Calibri" w:hAnsi="Calibri"/>
                <w:sz w:val="22"/>
              </w:rPr>
              <w:t>Unchanged; management expressed high conviction; consensus sits 7% above guidance floor</w:t>
            </w:r>
          </w:p>
        </w:tc>
      </w:tr>
      <w:tr>
        <w:tc>
          <w:tcPr>
            <w:tcW w:type="dxa" w:w="1728"/>
          </w:tcPr>
          <w:p>
            <w:r>
              <w:rPr>
                <w:rFonts w:ascii="Calibri" w:hAnsi="Calibri"/>
                <w:sz w:val="22"/>
              </w:rPr>
              <w:t>ANI per Share — FY 2026</w:t>
            </w:r>
          </w:p>
        </w:tc>
        <w:tc>
          <w:tcPr>
            <w:tcW w:type="dxa" w:w="1728"/>
          </w:tcPr>
          <w:p>
            <w:r>
              <w:rPr>
                <w:rFonts w:ascii="Calibri" w:hAnsi="Calibri"/>
                <w:sz w:val="22"/>
              </w:rPr>
              <w:t>"More likely to land below $7.00" (softened from prior $7+ target)</w:t>
            </w:r>
          </w:p>
        </w:tc>
        <w:tc>
          <w:tcPr>
            <w:tcW w:type="dxa" w:w="1728"/>
          </w:tcPr>
          <w:p>
            <w:r>
              <w:rPr>
                <w:rFonts w:ascii="Calibri" w:hAnsi="Calibri"/>
                <w:sz w:val="22"/>
              </w:rPr>
              <w:t>—</w:t>
            </w:r>
          </w:p>
        </w:tc>
        <w:tc>
          <w:tcPr>
            <w:tcW w:type="dxa" w:w="1728"/>
          </w:tcPr>
          <w:p>
            <w:r>
              <w:rPr>
                <w:rFonts w:ascii="Calibri" w:hAnsi="Calibri"/>
                <w:sz w:val="22"/>
              </w:rPr>
              <w:t>$6.09</w:t>
            </w:r>
          </w:p>
        </w:tc>
        <w:tc>
          <w:tcPr>
            <w:tcW w:type="dxa" w:w="1728"/>
          </w:tcPr>
          <w:p>
            <w:r>
              <w:rPr>
                <w:rFonts w:ascii="Calibri" w:hAnsi="Calibri"/>
                <w:sz w:val="22"/>
              </w:rPr>
              <w:t>No formal revision post-Q1; July 1 pre-announcement of $900M+ Q2 monetization income is a positive signal but no guidance upgrade issued</w:t>
            </w:r>
          </w:p>
        </w:tc>
      </w:tr>
      <w:tr>
        <w:tc>
          <w:tcPr>
            <w:tcW w:type="dxa" w:w="1728"/>
          </w:tcPr>
          <w:p>
            <w:r>
              <w:rPr>
                <w:rFonts w:ascii="Calibri" w:hAnsi="Calibri"/>
                <w:sz w:val="22"/>
              </w:rPr>
              <w:t>Insurance Operating Earnings — FY 2026</w:t>
            </w:r>
          </w:p>
        </w:tc>
        <w:tc>
          <w:tcPr>
            <w:tcW w:type="dxa" w:w="1728"/>
          </w:tcPr>
          <w:p>
            <w:r>
              <w:rPr>
                <w:rFonts w:ascii="Calibri" w:hAnsi="Calibri"/>
                <w:sz w:val="22"/>
              </w:rPr>
              <w:t>~$1.0 billion</w:t>
            </w:r>
          </w:p>
        </w:tc>
        <w:tc>
          <w:tcPr>
            <w:tcW w:type="dxa" w:w="1728"/>
          </w:tcPr>
          <w:p>
            <w:r>
              <w:rPr>
                <w:rFonts w:ascii="Calibri" w:hAnsi="Calibri"/>
                <w:sz w:val="22"/>
              </w:rPr>
              <w:t>—</w:t>
            </w:r>
          </w:p>
        </w:tc>
        <w:tc>
          <w:tcPr>
            <w:tcW w:type="dxa" w:w="1728"/>
          </w:tcPr>
          <w:p>
            <w:r>
              <w:rPr>
                <w:rFonts w:ascii="Calibri" w:hAnsi="Calibri"/>
                <w:sz w:val="22"/>
              </w:rPr>
              <w:t>$1.08B</w:t>
            </w:r>
          </w:p>
        </w:tc>
        <w:tc>
          <w:tcPr>
            <w:tcW w:type="dxa" w:w="1728"/>
          </w:tcPr>
          <w:p>
            <w:r>
              <w:rPr>
                <w:rFonts w:ascii="Calibri" w:hAnsi="Calibri"/>
                <w:sz w:val="22"/>
              </w:rPr>
              <w:t>Unchanged; consensus slightly above guidance; management noted deliberate pullback in retail origination amid competitive pressure</w:t>
            </w:r>
          </w:p>
        </w:tc>
      </w:tr>
      <w:tr>
        <w:tc>
          <w:tcPr>
            <w:tcW w:type="dxa" w:w="1728"/>
          </w:tcPr>
          <w:p>
            <w:r>
              <w:rPr>
                <w:rFonts w:ascii="Calibri" w:hAnsi="Calibri"/>
                <w:sz w:val="22"/>
              </w:rPr>
              <w:t>Strategic Holdings Op. Earnings — FY 2026</w:t>
            </w:r>
          </w:p>
        </w:tc>
        <w:tc>
          <w:tcPr>
            <w:tcW w:type="dxa" w:w="1728"/>
          </w:tcPr>
          <w:p>
            <w:r>
              <w:rPr>
                <w:rFonts w:ascii="Calibri" w:hAnsi="Calibri"/>
                <w:sz w:val="22"/>
              </w:rPr>
              <w:t>$350M+</w:t>
            </w:r>
          </w:p>
        </w:tc>
        <w:tc>
          <w:tcPr>
            <w:tcW w:type="dxa" w:w="1728"/>
          </w:tcPr>
          <w:p>
            <w:r>
              <w:rPr>
                <w:rFonts w:ascii="Calibri" w:hAnsi="Calibri"/>
                <w:sz w:val="22"/>
              </w:rPr>
              <w:t>—</w:t>
            </w:r>
          </w:p>
        </w:tc>
        <w:tc>
          <w:tcPr>
            <w:tcW w:type="dxa" w:w="1728"/>
          </w:tcPr>
          <w:p>
            <w:r>
              <w:rPr>
                <w:rFonts w:ascii="Calibri" w:hAnsi="Calibri"/>
                <w:sz w:val="22"/>
              </w:rPr>
              <w:t>$348M</w:t>
            </w:r>
          </w:p>
        </w:tc>
        <w:tc>
          <w:tcPr>
            <w:tcW w:type="dxa" w:w="1728"/>
          </w:tcPr>
          <w:p>
            <w:r>
              <w:rPr>
                <w:rFonts w:ascii="Calibri" w:hAnsi="Calibri"/>
                <w:sz w:val="22"/>
              </w:rPr>
              <w:t>Unchanged; consensus essentially in-line with guidance; on track per management commentary</w:t>
            </w:r>
          </w:p>
        </w:tc>
      </w:tr>
      <w:tr>
        <w:tc>
          <w:tcPr>
            <w:tcW w:type="dxa" w:w="1728"/>
          </w:tcPr>
          <w:p>
            <w:r>
              <w:rPr>
                <w:rFonts w:ascii="Calibri" w:hAnsi="Calibri"/>
                <w:sz w:val="22"/>
              </w:rPr>
              <w:t>Monetization Activity — Q2 2026 (Pre-Announced)</w:t>
            </w:r>
          </w:p>
        </w:tc>
        <w:tc>
          <w:tcPr>
            <w:tcW w:type="dxa" w:w="1728"/>
          </w:tcPr>
          <w:p>
            <w:r>
              <w:rPr>
                <w:rFonts w:ascii="Calibri" w:hAnsi="Calibri"/>
                <w:sz w:val="22"/>
              </w:rPr>
              <w:t>No specific Q2 guidance given on May 5 call</w:t>
            </w:r>
          </w:p>
        </w:tc>
        <w:tc>
          <w:tcPr>
            <w:tcW w:type="dxa" w:w="1728"/>
          </w:tcPr>
          <w:p>
            <w:r>
              <w:rPr>
                <w:rFonts w:ascii="Calibri" w:hAnsi="Calibri"/>
                <w:sz w:val="22"/>
              </w:rPr>
              <w:t>$900M+ income from monetization (July 1, 2026 press release; ~80% realized performance income, ~20% realized investment income; through June 24)</w:t>
            </w:r>
          </w:p>
        </w:tc>
        <w:tc>
          <w:tcPr>
            <w:tcW w:type="dxa" w:w="1728"/>
          </w:tcPr>
          <w:p>
            <w:r>
              <w:rPr>
                <w:rFonts w:ascii="Calibri" w:hAnsi="Calibri"/>
                <w:sz w:val="22"/>
              </w:rPr>
              <w:t>N/A (not a consensus-tracked line)</w:t>
            </w:r>
          </w:p>
        </w:tc>
        <w:tc>
          <w:tcPr>
            <w:tcW w:type="dxa" w:w="1728"/>
          </w:tcPr>
          <w:p>
            <w:r>
              <w:rPr>
                <w:rFonts w:ascii="Calibri" w:hAnsi="Calibri"/>
                <w:sz w:val="22"/>
              </w:rPr>
              <w:t>↑ Positive surprise vs. Q1 2026 implied run-rate; management described this as an acceleration in monetization activity year-to-date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FRE estimates have risen modestly since the Q1 print (a positive signal), while ANI estimates for FY 2026 have been revised down to reflect the softened guidance — the gap between the $7 original target and the $6.09 current consensus represents the monetization timing risk that the Q2 pre-announcement partially resolves.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&amp; Period</w:t>
            </w:r>
          </w:p>
        </w:tc>
        <w:tc>
          <w:tcPr>
            <w:tcW w:type="dxa" w:w="1234"/>
            <w:shd w:val="clear" w:color="auto" w:fill="3B4259"/>
          </w:tcPr>
          <w:p>
            <w:r>
              <w:rPr>
                <w:rFonts w:ascii="Calibri" w:hAnsi="Calibri"/>
                <w:b/>
                <w:color w:val="FFFFFF"/>
                <w:sz w:val="22"/>
              </w:rPr>
              <w:t>Estimate (May 12, 2026 — ~5 Days Post Q1 Print)</w:t>
            </w:r>
          </w:p>
        </w:tc>
        <w:tc>
          <w:tcPr>
            <w:tcW w:type="dxa" w:w="1234"/>
            <w:shd w:val="clear" w:color="auto" w:fill="3B4259"/>
          </w:tcPr>
          <w:p>
            <w:r>
              <w:rPr>
                <w:rFonts w:ascii="Calibri" w:hAnsi="Calibri"/>
                <w:b/>
                <w:color w:val="FFFFFF"/>
                <w:sz w:val="22"/>
              </w:rPr>
              <w:t>Current Consensus (Jul 29, 2026)</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(Last Call)</w:t>
            </w:r>
          </w:p>
        </w:tc>
        <w:tc>
          <w:tcPr>
            <w:tcW w:type="dxa" w:w="1234"/>
            <w:shd w:val="clear" w:color="auto" w:fill="3B4259"/>
          </w:tcPr>
          <w:p>
            <w:r>
              <w:rPr>
                <w:rFonts w:ascii="Calibri" w:hAnsi="Calibri"/>
                <w:b/>
                <w:color w:val="FFFFFF"/>
                <w:sz w:val="22"/>
              </w:rPr>
              <w:t>Current Guidance</w:t>
            </w:r>
          </w:p>
        </w:tc>
        <w:tc>
          <w:tcPr>
            <w:tcW w:type="dxa" w:w="1234"/>
            <w:shd w:val="clear" w:color="auto" w:fill="3B4259"/>
          </w:tcPr>
          <w:p>
            <w:r>
              <w:rPr>
                <w:rFonts w:ascii="Calibri" w:hAnsi="Calibri"/>
                <w:b/>
                <w:color w:val="FFFFFF"/>
                <w:sz w:val="22"/>
              </w:rPr>
              <w:t>Cons. vs. Guidance (%)</w:t>
            </w:r>
          </w:p>
        </w:tc>
      </w:tr>
      <w:tr>
        <w:tc>
          <w:tcPr>
            <w:tcW w:type="dxa" w:w="1234"/>
          </w:tcPr>
          <w:p>
            <w:r>
              <w:rPr>
                <w:rFonts w:ascii="Calibri" w:hAnsi="Calibri"/>
                <w:sz w:val="22"/>
              </w:rPr>
              <w:t>FRE per Share — Q2 2026</w:t>
            </w:r>
          </w:p>
        </w:tc>
        <w:tc>
          <w:tcPr>
            <w:tcW w:type="dxa" w:w="1234"/>
          </w:tcPr>
          <w:p>
            <w:r>
              <w:rPr>
                <w:rFonts w:ascii="Calibri" w:hAnsi="Calibri"/>
                <w:sz w:val="22"/>
              </w:rPr>
              <w:t>$1.17</w:t>
            </w:r>
          </w:p>
        </w:tc>
        <w:tc>
          <w:tcPr>
            <w:tcW w:type="dxa" w:w="1234"/>
          </w:tcPr>
          <w:p>
            <w:r>
              <w:rPr>
                <w:rFonts w:ascii="Calibri" w:hAnsi="Calibri"/>
                <w:sz w:val="22"/>
              </w:rPr>
              <w:t>$1.16</w:t>
            </w:r>
          </w:p>
        </w:tc>
        <w:tc>
          <w:tcPr>
            <w:tcW w:type="dxa" w:w="1234"/>
          </w:tcPr>
          <w:p>
            <w:r>
              <w:rPr>
                <w:rFonts w:ascii="Calibri" w:hAnsi="Calibri"/>
                <w:sz w:val="22"/>
              </w:rPr>
              <w:t>-0.4%</w:t>
            </w:r>
          </w:p>
        </w:tc>
        <w:tc>
          <w:tcPr>
            <w:tcW w:type="dxa" w:w="1234"/>
          </w:tcPr>
          <w:p>
            <w:r>
              <w:rPr>
                <w:rFonts w:ascii="Calibri" w:hAnsi="Calibri"/>
                <w:sz w:val="22"/>
              </w:rPr>
              <w:t>N/A (quarterly)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 per Share — FY 2026</w:t>
            </w:r>
          </w:p>
        </w:tc>
        <w:tc>
          <w:tcPr>
            <w:tcW w:type="dxa" w:w="1234"/>
          </w:tcPr>
          <w:p>
            <w:r>
              <w:rPr>
                <w:rFonts w:ascii="Calibri" w:hAnsi="Calibri"/>
                <w:sz w:val="22"/>
              </w:rPr>
              <w:t>$4.78</w:t>
            </w:r>
          </w:p>
        </w:tc>
        <w:tc>
          <w:tcPr>
            <w:tcW w:type="dxa" w:w="1234"/>
          </w:tcPr>
          <w:p>
            <w:r>
              <w:rPr>
                <w:rFonts w:ascii="Calibri" w:hAnsi="Calibri"/>
                <w:sz w:val="22"/>
              </w:rPr>
              <w:t>$4.83</w:t>
            </w:r>
          </w:p>
        </w:tc>
        <w:tc>
          <w:tcPr>
            <w:tcW w:type="dxa" w:w="1234"/>
          </w:tcPr>
          <w:p>
            <w:r>
              <w:rPr>
                <w:rFonts w:ascii="Calibri" w:hAnsi="Calibri"/>
                <w:b/>
                <w:color w:val="30A46C"/>
                <w:sz w:val="22"/>
              </w:rPr>
              <w:t>+1.1%</w:t>
            </w:r>
          </w:p>
        </w:tc>
        <w:tc>
          <w:tcPr>
            <w:tcW w:type="dxa" w:w="1234"/>
          </w:tcPr>
          <w:p>
            <w:r>
              <w:rPr>
                <w:rFonts w:ascii="Calibri" w:hAnsi="Calibri"/>
                <w:sz w:val="22"/>
              </w:rPr>
              <w:t>$4.50+</w:t>
            </w:r>
          </w:p>
        </w:tc>
        <w:tc>
          <w:tcPr>
            <w:tcW w:type="dxa" w:w="1234"/>
          </w:tcPr>
          <w:p>
            <w:r>
              <w:rPr>
                <w:rFonts w:ascii="Calibri" w:hAnsi="Calibri"/>
                <w:sz w:val="22"/>
              </w:rPr>
              <w:t>$4.50+ (unchanged)</w:t>
            </w:r>
          </w:p>
        </w:tc>
        <w:tc>
          <w:tcPr>
            <w:tcW w:type="dxa" w:w="1234"/>
          </w:tcPr>
          <w:p>
            <w:r>
              <w:rPr>
                <w:rFonts w:ascii="Calibri" w:hAnsi="Calibri"/>
                <w:sz w:val="22"/>
              </w:rPr>
              <w:t>+7.3% above guidance floor</w:t>
            </w:r>
          </w:p>
        </w:tc>
      </w:tr>
      <w:tr>
        <w:tc>
          <w:tcPr>
            <w:tcW w:type="dxa" w:w="1234"/>
          </w:tcPr>
          <w:p>
            <w:r>
              <w:rPr>
                <w:rFonts w:ascii="Calibri" w:hAnsi="Calibri"/>
                <w:sz w:val="22"/>
              </w:rPr>
              <w:t>ANI per Share — Q2 2026</w:t>
            </w:r>
          </w:p>
        </w:tc>
        <w:tc>
          <w:tcPr>
            <w:tcW w:type="dxa" w:w="1234"/>
          </w:tcPr>
          <w:p>
            <w:r>
              <w:rPr>
                <w:rFonts w:ascii="Calibri" w:hAnsi="Calibri"/>
                <w:sz w:val="22"/>
              </w:rPr>
              <w:t>$1.38</w:t>
            </w:r>
          </w:p>
        </w:tc>
        <w:tc>
          <w:tcPr>
            <w:tcW w:type="dxa" w:w="1234"/>
          </w:tcPr>
          <w:p>
            <w:r>
              <w:rPr>
                <w:rFonts w:ascii="Calibri" w:hAnsi="Calibri"/>
                <w:sz w:val="22"/>
              </w:rPr>
              <w:t>$1.42</w:t>
            </w:r>
          </w:p>
        </w:tc>
        <w:tc>
          <w:tcPr>
            <w:tcW w:type="dxa" w:w="1234"/>
          </w:tcPr>
          <w:p>
            <w:r>
              <w:rPr>
                <w:rFonts w:ascii="Calibri" w:hAnsi="Calibri"/>
                <w:b/>
                <w:color w:val="30A46C"/>
                <w:sz w:val="22"/>
              </w:rPr>
              <w:t>+2.8%</w:t>
            </w:r>
          </w:p>
        </w:tc>
        <w:tc>
          <w:tcPr>
            <w:tcW w:type="dxa" w:w="1234"/>
          </w:tcPr>
          <w:p>
            <w:r>
              <w:rPr>
                <w:rFonts w:ascii="Calibri" w:hAnsi="Calibri"/>
                <w:sz w:val="22"/>
              </w:rPr>
              <w:t>N/A (quarterly)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ANI per Share — FY 2026</w:t>
            </w:r>
          </w:p>
        </w:tc>
        <w:tc>
          <w:tcPr>
            <w:tcW w:type="dxa" w:w="1234"/>
          </w:tcPr>
          <w:p>
            <w:r>
              <w:rPr>
                <w:rFonts w:ascii="Calibri" w:hAnsi="Calibri"/>
                <w:sz w:val="22"/>
              </w:rPr>
              <w:t>$6.03</w:t>
            </w:r>
          </w:p>
        </w:tc>
        <w:tc>
          <w:tcPr>
            <w:tcW w:type="dxa" w:w="1234"/>
          </w:tcPr>
          <w:p>
            <w:r>
              <w:rPr>
                <w:rFonts w:ascii="Calibri" w:hAnsi="Calibri"/>
                <w:sz w:val="22"/>
              </w:rPr>
              <w:t>$6.09</w:t>
            </w:r>
          </w:p>
        </w:tc>
        <w:tc>
          <w:tcPr>
            <w:tcW w:type="dxa" w:w="1234"/>
          </w:tcPr>
          <w:p>
            <w:r>
              <w:rPr>
                <w:rFonts w:ascii="Calibri" w:hAnsi="Calibri"/>
                <w:b/>
                <w:color w:val="30A46C"/>
                <w:sz w:val="22"/>
              </w:rPr>
              <w:t>+1.0%</w:t>
            </w:r>
          </w:p>
        </w:tc>
        <w:tc>
          <w:tcPr>
            <w:tcW w:type="dxa" w:w="1234"/>
          </w:tcPr>
          <w:p>
            <w:r>
              <w:rPr>
                <w:rFonts w:ascii="Calibri" w:hAnsi="Calibri"/>
                <w:sz w:val="22"/>
              </w:rPr>
              <w:t>Below $7.00 (softened on Q1 call)</w:t>
            </w:r>
          </w:p>
        </w:tc>
        <w:tc>
          <w:tcPr>
            <w:tcW w:type="dxa" w:w="1234"/>
          </w:tcPr>
          <w:p>
            <w:r>
              <w:rPr>
                <w:rFonts w:ascii="Calibri" w:hAnsi="Calibri"/>
                <w:sz w:val="22"/>
              </w:rPr>
              <w:t>Below $7.00 (unchanged)</w:t>
            </w:r>
          </w:p>
        </w:tc>
        <w:tc>
          <w:tcPr>
            <w:tcW w:type="dxa" w:w="1234"/>
          </w:tcPr>
          <w:p>
            <w:r>
              <w:rPr>
                <w:rFonts w:ascii="Calibri" w:hAnsi="Calibri"/>
                <w:sz w:val="22"/>
              </w:rPr>
              <w:t>~13% below original $7 target; consensus has stabilized post-Q1 revision</w:t>
            </w:r>
          </w:p>
        </w:tc>
      </w:tr>
      <w:tr>
        <w:tc>
          <w:tcPr>
            <w:tcW w:type="dxa" w:w="1234"/>
          </w:tcPr>
          <w:p>
            <w:r>
              <w:rPr>
                <w:rFonts w:ascii="Calibri" w:hAnsi="Calibri"/>
                <w:sz w:val="22"/>
              </w:rPr>
              <w:t>TOE per Share — Q2 2026</w:t>
            </w:r>
          </w:p>
        </w:tc>
        <w:tc>
          <w:tcPr>
            <w:tcW w:type="dxa" w:w="1234"/>
          </w:tcPr>
          <w:p>
            <w:r>
              <w:rPr>
                <w:rFonts w:ascii="Calibri" w:hAnsi="Calibri"/>
                <w:sz w:val="22"/>
              </w:rPr>
              <w:t>$1.54</w:t>
            </w:r>
          </w:p>
        </w:tc>
        <w:tc>
          <w:tcPr>
            <w:tcW w:type="dxa" w:w="1234"/>
          </w:tcPr>
          <w:p>
            <w:r>
              <w:rPr>
                <w:rFonts w:ascii="Calibri" w:hAnsi="Calibri"/>
                <w:sz w:val="22"/>
              </w:rPr>
              <w:t>$1.51</w:t>
            </w:r>
          </w:p>
        </w:tc>
        <w:tc>
          <w:tcPr>
            <w:tcW w:type="dxa" w:w="1234"/>
          </w:tcPr>
          <w:p>
            <w:r>
              <w:rPr>
                <w:rFonts w:ascii="Calibri" w:hAnsi="Calibri"/>
                <w:sz w:val="22"/>
              </w:rPr>
              <w:t>-1.7%</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AUM — Q2 2026 ($B)</w:t>
            </w:r>
          </w:p>
        </w:tc>
        <w:tc>
          <w:tcPr>
            <w:tcW w:type="dxa" w:w="1234"/>
          </w:tcPr>
          <w:p>
            <w:r>
              <w:rPr>
                <w:rFonts w:ascii="Calibri" w:hAnsi="Calibri"/>
                <w:sz w:val="22"/>
              </w:rPr>
              <w:t>$787</w:t>
            </w:r>
          </w:p>
        </w:tc>
        <w:tc>
          <w:tcPr>
            <w:tcW w:type="dxa" w:w="1234"/>
          </w:tcPr>
          <w:p>
            <w:r>
              <w:rPr>
                <w:rFonts w:ascii="Calibri" w:hAnsi="Calibri"/>
                <w:sz w:val="22"/>
              </w:rPr>
              <w:t>$788</w:t>
            </w:r>
          </w:p>
        </w:tc>
        <w:tc>
          <w:tcPr>
            <w:tcW w:type="dxa" w:w="1234"/>
          </w:tcPr>
          <w:p>
            <w:r>
              <w:rPr>
                <w:rFonts w:ascii="Calibri" w:hAnsi="Calibri"/>
                <w:sz w:val="22"/>
              </w:rPr>
              <w:t>+0.1%</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color w:val="525866"/>
          <w:sz w:val="22"/>
        </w:rPr>
        <w:t>Source: Visible Alpha. Baseline as of May 12, 2026 (~5 trading days post Q1 2026 earnings). ANI Q2 2026 estimate has risen modestly since the Q1 print, consistent with the monetization pre-announcement; FRE estimates are stable-to-slightly-higher, confirming the recurring earnings trajectory is intact.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KKR has underperformed peers since Q1 earnings — down ~3% vs. BX +5%, ARES +1%, and APO -8% on an indexed basis — driven by multiple compression following the ANI guidance softening, not estimate revisions; the stock's relative underperformance vs. BX and ARES creates a lower bar and potential catch-up trade if Q2 results confirm the monetization acceleration.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KKR vs. Peers (BX, APO, ARES) — Indexed Price Since Q1 2026 Earnings (May 5, 2026). Base = 100. Sector ETF proxy: peer basket of BX, APO, ARES (alternative asset managers). Vertical dashed line marks KKR's July 1, 2026 Q2 monetization pre-announcement.</w:t>
      </w:r>
    </w:p>
    <w:p>
      <w:r>
        <w:rPr>
          <w:rFonts w:ascii="Calibri" w:hAnsi="Calibri"/>
          <w:color w:val="525866"/>
          <w:sz w:val="22"/>
        </w:rPr>
        <w:t>KKR (dark navy) has lagged Blackstone (BX, +5.4%) and Ares (ARES, +1.3%) since the Q1 print, while outperforming Apollo (APO, -8.1%). The underperformance vs. BX and ARES reflects the market's negative reaction to the ANI guidance softening on the Q1 call, with the stock briefly touching a low of ~$88.94 in late June before recovering on the July 1 monetization pre-announcement. The pre-announcement drove a visible recovery in the stock, with KKR rallying from ~$91 to ~$103 between June 30 and July 16 before pulling back modestly. The stock's current level (~$99) implies the market has partially but not fully priced in the monetization acceleration — a clean Q2 beat with any guidance upgrade could close the gap vs. BX.</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July 1 monetization pre-announcement is the single most important development since Q1 earnings — it materially de-risks the ANI bear case and signals the record forward pipeline is converting to realized income faster than feared.</w:t>
      </w:r>
    </w:p>
    <w:p>
      <w:pPr>
        <w:pStyle w:val="ListBullet"/>
        <w:ind w:left="360" w:hanging="360"/>
      </w:pPr>
      <w:r>
        <w:rPr>
          <w:rFonts w:ascii="Calibri" w:hAnsi="Calibri"/>
          <w:b/>
          <w:color w:val="525866"/>
          <w:sz w:val="22"/>
        </w:rPr>
        <w:t>July 1, 2026 — KKR Pre-Announces $900M+ in Q2 Monetization Income:</w:t>
      </w:r>
      <w:r>
        <w:rPr>
          <w:rFonts w:ascii="Calibri" w:hAnsi="Calibri"/>
          <w:color w:val="525866"/>
          <w:sz w:val="22"/>
        </w:rPr>
        <w:t xml:space="preserve"> KKR disclosed income from monetization activity in excess of $900 million for the period March 31 through June 24, 2026, comprising approximately 80% realized performance income and 20% realized investment income. Management described this as an acceleration in year-to-date monetization activity. </w:t>
      </w:r>
    </w:p>
    <w:p>
      <w:pPr>
        <w:pStyle w:val="ListBullet"/>
        <w:ind w:left="360" w:hanging="360"/>
      </w:pPr>
      <w:r>
        <w:rPr>
          <w:rFonts w:ascii="Calibri" w:hAnsi="Calibri"/>
          <w:i/>
          <w:color w:val="525866"/>
          <w:sz w:val="22"/>
        </w:rPr>
        <w:t>Implication:</w:t>
      </w:r>
      <w:r>
        <w:rPr>
          <w:rFonts w:ascii="Calibri" w:hAnsi="Calibri"/>
          <w:color w:val="525866"/>
          <w:sz w:val="22"/>
        </w:rPr>
        <w:t xml:space="preserve"> Directly addresses the Q1 bear case (delayed monetizations); sets up a strong ANI beat vs. the $1.42 consensus for Q2.</w:t>
      </w:r>
    </w:p>
    <w:p>
      <w:pPr>
        <w:pStyle w:val="ListBullet"/>
        <w:ind w:left="360" w:hanging="360"/>
      </w:pPr>
      <w:r>
        <w:rPr>
          <w:rFonts w:ascii="Calibri" w:hAnsi="Calibri"/>
          <w:b/>
          <w:color w:val="525866"/>
          <w:sz w:val="22"/>
        </w:rPr>
        <w:t>July 1, 2026 — Q2 2026 Earnings Date Confirmed:</w:t>
      </w:r>
      <w:r>
        <w:rPr>
          <w:rFonts w:ascii="Calibri" w:hAnsi="Calibri"/>
          <w:color w:val="525866"/>
          <w:sz w:val="22"/>
        </w:rPr>
        <w:t xml:space="preserve"> KKR confirmed results will be released July 30, 2026 before market open, with a conference call at 9:00 a.m. ET.</w:t>
      </w:r>
    </w:p>
    <w:p>
      <w:pPr>
        <w:pStyle w:val="ListBullet"/>
        <w:ind w:left="360" w:hanging="360"/>
      </w:pPr>
      <w:r>
        <w:rPr>
          <w:rFonts w:ascii="Calibri" w:hAnsi="Calibri"/>
          <w:b/>
          <w:color w:val="525866"/>
          <w:sz w:val="22"/>
        </w:rPr>
        <w:t>May 29, 2026 — KKR Presents at Morgan Stanley US Financials Conference:</w:t>
      </w:r>
      <w:r>
        <w:rPr>
          <w:rFonts w:ascii="Calibri" w:hAnsi="Calibri"/>
          <w:color w:val="525866"/>
          <w:sz w:val="22"/>
        </w:rPr>
        <w:t xml:space="preserve"> Management reiterated strategic priorities including FRE growth trajectory, insurance platform evolution, and digital infrastructure buildout via Helix. No material guidance changes disclosed.</w:t>
      </w:r>
    </w:p>
    <w:p>
      <w:pPr>
        <w:pStyle w:val="ListBullet"/>
        <w:ind w:left="360" w:hanging="360"/>
      </w:pPr>
      <w:r>
        <w:rPr>
          <w:rFonts w:ascii="Calibri" w:hAnsi="Calibri"/>
          <w:b/>
          <w:color w:val="525866"/>
          <w:sz w:val="22"/>
        </w:rPr>
        <w:t>May 14, 2026 — KKR Presents at Bernstein 42nd Annual Strategic Decisions Conference:</w:t>
      </w:r>
      <w:r>
        <w:rPr>
          <w:rFonts w:ascii="Calibri" w:hAnsi="Calibri"/>
          <w:color w:val="525866"/>
          <w:sz w:val="22"/>
        </w:rPr>
        <w:t xml:space="preserve"> Management highlighted the Arctos/KKR Solutions platform integration progress and wealth channel momentum. No material guidance changes.</w:t>
      </w:r>
    </w:p>
    <w:p>
      <w:pPr>
        <w:pStyle w:val="ListBullet"/>
        <w:ind w:left="360" w:hanging="360"/>
      </w:pPr>
      <w:r>
        <w:rPr>
          <w:rFonts w:ascii="Calibri" w:hAnsi="Calibri"/>
          <w:b/>
          <w:color w:val="525866"/>
          <w:sz w:val="22"/>
        </w:rPr>
        <w:t>May 5, 2026 — Q1 2026 Earnings (Last Print):</w:t>
      </w:r>
      <w:r>
        <w:rPr>
          <w:rFonts w:ascii="Calibri" w:hAnsi="Calibri"/>
          <w:color w:val="525866"/>
          <w:sz w:val="22"/>
        </w:rPr>
        <w:t xml:space="preserve"> Beat on FRE and ANI; FRE per share $1.13 vs. $1.09 consensus; ANI per share $1.39 vs. $1.26 consensus. </w:t>
      </w:r>
    </w:p>
    <w:p>
      <w:pPr>
        <w:pStyle w:val="ListBullet"/>
        <w:ind w:left="360" w:hanging="360"/>
      </w:pPr>
      <w:r>
        <w:rPr>
          <w:rFonts w:ascii="Calibri" w:hAnsi="Calibri"/>
          <w:i/>
          <w:color w:val="525866"/>
          <w:sz w:val="22"/>
        </w:rPr>
        <w:t>Key negative:</w:t>
      </w:r>
      <w:r>
        <w:rPr>
          <w:rFonts w:ascii="Calibri" w:hAnsi="Calibri"/>
          <w:color w:val="525866"/>
          <w:sz w:val="22"/>
        </w:rPr>
        <w:t xml:space="preserve"> Management softened full-year ANI guidance to "more likely to land below $7 per share" due to market volatility and potential monetization delays. Co-CEOs and multiple board members purchased stock personally during Q1, signaling conviction in intrinsic value.</w:t>
      </w:r>
    </w:p>
    <w:p>
      <w:pPr>
        <w:pStyle w:val="ListBullet"/>
        <w:ind w:left="360" w:hanging="360"/>
      </w:pPr>
      <w:r>
        <w:rPr>
          <w:rFonts w:ascii="Calibri" w:hAnsi="Calibri"/>
          <w:b/>
          <w:color w:val="525866"/>
          <w:sz w:val="22"/>
        </w:rPr>
        <w:t>Q1 2026 — Arctos Acquisition Closed:</w:t>
      </w:r>
      <w:r>
        <w:rPr>
          <w:rFonts w:ascii="Calibri" w:hAnsi="Calibri"/>
          <w:color w:val="525866"/>
          <w:sz w:val="22"/>
        </w:rPr>
        <w:t xml:space="preserve"> KKR completed the acquisition of Arctos, establishing the KKR Solutions platform targeting sports, GP solutions, and secondaries. Approximately $6 billion of dry powder in the Ivy sidecar vehicle expected to translate into a significantly larger AUM base when deployed.</w:t>
      </w:r>
    </w:p>
    <w:p>
      <w:pPr>
        <w:pStyle w:val="ListBullet"/>
        <w:ind w:left="360" w:hanging="360"/>
      </w:pPr>
      <w:r>
        <w:rPr>
          <w:rFonts w:ascii="Calibri" w:hAnsi="Calibri"/>
          <w:b/>
          <w:color w:val="525866"/>
          <w:sz w:val="22"/>
        </w:rPr>
        <w:t>Ongoing — Helix Digital Infrastructure Launch:</w:t>
      </w:r>
      <w:r>
        <w:rPr>
          <w:rFonts w:ascii="Calibri" w:hAnsi="Calibri"/>
          <w:color w:val="525866"/>
          <w:sz w:val="22"/>
        </w:rPr>
        <w:t xml:space="preserve"> KKR launched Helix Digital Infrastructure, a full-stack AI infrastructure venture led by former AWS CEO Adam Selipsky, targeting data centers, power generation, transmission, and connectivity for hyperscalers. Management views digital infrastructure as currently undercapitalized within KKR's product suite relative to the opportunity set.</w:t>
      </w:r>
    </w:p>
    <w:p>
      <w:pPr>
        <w:pStyle w:val="ListBullet"/>
        <w:ind w:left="360" w:hanging="360"/>
      </w:pPr>
      <w:r>
        <w:rPr>
          <w:rFonts w:ascii="Calibri" w:hAnsi="Calibri"/>
          <w:b/>
          <w:color w:val="525866"/>
          <w:sz w:val="22"/>
        </w:rPr>
        <w:t>Ongoing — Wealth Channel Momentum:</w:t>
      </w:r>
      <w:r>
        <w:rPr>
          <w:rFonts w:ascii="Calibri" w:hAnsi="Calibri"/>
          <w:color w:val="525866"/>
          <w:sz w:val="22"/>
        </w:rPr>
        <w:t xml:space="preserve"> Wealth AUM reached $38 billion (up from $6 billion two years ago); Capital Group partnership expanded to include both credit and private equity products. Distribution build outside the US described as roughly half-complete.</w:t>
      </w:r>
    </w:p>
    <w:p>
      <w:pPr>
        <w:pStyle w:val="ListBullet"/>
        <w:ind w:left="360" w:hanging="360"/>
      </w:pPr>
      <w:r>
        <w:rPr>
          <w:rFonts w:ascii="Calibri" w:hAnsi="Calibri"/>
          <w:b/>
          <w:color w:val="525866"/>
          <w:sz w:val="22"/>
        </w:rPr>
        <w:t>Ongoing — Embedded Gains Near Record:</w:t>
      </w:r>
      <w:r>
        <w:rPr>
          <w:rFonts w:ascii="Calibri" w:hAnsi="Calibri"/>
          <w:color w:val="525866"/>
          <w:sz w:val="22"/>
        </w:rPr>
        <w:t xml:space="preserve"> Approximately $18.3 billion in embedded gains at Q1 2026 quarter-end, providing strong visibility into future monetization potential even as Q2 monetization has accelerated.</w:t>
      </w:r>
    </w:p>
    <w:p>
      <w:r>
        <w:br w:type="page"/>
      </w:r>
    </w:p>
    <w:p>
      <w:pPr>
        <w:pStyle w:val="Heading2"/>
      </w:pPr>
      <w:r>
        <w:rPr>
          <w:rFonts w:ascii="Calibri" w:hAnsi="Calibri"/>
          <w:b/>
          <w:color w:val="3B4259"/>
          <w:sz w:val="28"/>
        </w:rPr>
        <w:t>7. Peer Commentaries — Read-Through for KKR Q2 2026</w:t>
      </w:r>
    </w:p>
    <w:p>
      <w:r>
        <w:rPr>
          <w:rFonts w:ascii="Calibri" w:hAnsi="Calibri"/>
          <w:b/>
          <w:color w:val="525866"/>
          <w:sz w:val="22"/>
        </w:rPr>
        <w:t xml:space="preserve">Key Takeaway: </w:t>
      </w:r>
      <w:r>
        <w:rPr>
          <w:rFonts w:ascii="Calibri" w:hAnsi="Calibri"/>
          <w:color w:val="525866"/>
          <w:sz w:val="22"/>
        </w:rPr>
        <w:t xml:space="preserve">Peer commentary from Q1 2026 earnings calls (May 2026) and Blackstone's Q2 2026 earnings call (July 23, 2026) collectively point to </w:t>
      </w:r>
    </w:p>
    <w:p>
      <w:r>
        <w:rPr>
          <w:rFonts w:ascii="Calibri" w:hAnsi="Calibri"/>
          <w:b/>
          <w:color w:val="525866"/>
          <w:sz w:val="22"/>
        </w:rPr>
        <w:t xml:space="preserve">Key Takeaway: </w:t>
      </w:r>
      <w:r>
        <w:rPr>
          <w:rFonts w:ascii="Calibri" w:hAnsi="Calibri"/>
          <w:color w:val="525866"/>
          <w:sz w:val="22"/>
        </w:rPr>
        <w:t xml:space="preserve">Peer commentary from Q1 2026 earnings calls and Blackstone's Q2 2026 results (July 23) collectively point to a </w:t>
      </w:r>
    </w:p>
    <w:p>
      <w:r>
        <w:rPr>
          <w:rFonts w:ascii="Calibri" w:hAnsi="Calibri"/>
          <w:b/>
          <w:color w:val="525866"/>
          <w:sz w:val="22"/>
        </w:rPr>
        <w:t xml:space="preserve">Note on scope: </w:t>
      </w:r>
      <w:r>
        <w:rPr>
          <w:rFonts w:ascii="Calibri" w:hAnsi="Calibri"/>
          <w:color w:val="525866"/>
          <w:sz w:val="22"/>
        </w:rPr>
        <w:t>Only commentary from peers' Q1 2026 earnings calls (reporting on Q1 2026 results and providing Q2/H2 2026 outlook) and Blackstone's Q2 2026 earnings call (July 23, 2026) are included below. Prior-quarter commentary about prior-quarter results is excluded.</w:t>
      </w:r>
    </w:p>
    <w:p>
      <w:pPr>
        <w:pStyle w:val="Heading3"/>
      </w:pPr>
      <w:r>
        <w:rPr>
          <w:rFonts w:ascii="Calibri" w:hAnsi="Calibri"/>
          <w:b/>
          <w:color w:val="3B4259"/>
          <w:sz w:val="24"/>
        </w:rPr>
        <w:t>Blackstone (BX) — Q2 2026 Earnings Call (July 23, 2026) — Most Relevant Read-Through</w:t>
      </w:r>
    </w:p>
    <w:p>
      <w:r>
        <w:rPr>
          <w:rFonts w:ascii="Calibri" w:hAnsi="Calibri"/>
          <w:color w:val="525866"/>
          <w:sz w:val="22"/>
        </w:rPr>
        <w:t>Blackstone reported outstanding Q2 2026 results with total inflows of nearly $70 billion in the quarter and over $260 billion for the last 12 months, lifting AUM 11% year-over-year to a record $1.35 trillion. FRE grew 22% year-over-year to $1.8 billion ($1.43/share). These results are a strong positive read-through for KKR on multiple dimensions:</w:t>
      </w:r>
    </w:p>
    <w:p>
      <w:pPr>
        <w:pStyle w:val="ListBullet"/>
        <w:ind w:left="360" w:hanging="360"/>
      </w:pPr>
      <w:r>
        <w:rPr>
          <w:rFonts w:ascii="Calibri" w:hAnsi="Calibri"/>
          <w:b/>
          <w:color w:val="525866"/>
          <w:sz w:val="22"/>
        </w:rPr>
        <w:t>Monetization / Realizations:</w:t>
      </w:r>
      <w:r>
        <w:rPr>
          <w:rFonts w:ascii="Calibri" w:hAnsi="Calibri"/>
          <w:color w:val="525866"/>
          <w:sz w:val="22"/>
        </w:rPr>
        <w:t xml:space="preserve"> Net realizations rose 27% year-over-year despite geopolitical volatility. Gross performance revenues grew 32% YoY to $731 million, with real estate performance revenues rising nearly five-fold to a four-year high. BX noted that geopolitical volatility had "pushed out exit pipelines" in Q1 but Q2 saw a strong recovery. </w:t>
      </w:r>
    </w:p>
    <w:p>
      <w:pPr>
        <w:pStyle w:val="ListBullet"/>
        <w:ind w:left="360" w:hanging="360"/>
      </w:pPr>
      <w:r>
        <w:rPr>
          <w:rFonts w:ascii="Calibri" w:hAnsi="Calibri"/>
          <w:i/>
          <w:color w:val="525866"/>
          <w:sz w:val="22"/>
        </w:rPr>
        <w:t>Read-through for KKR:</w:t>
      </w:r>
      <w:r>
        <w:rPr>
          <w:rFonts w:ascii="Calibri" w:hAnsi="Calibri"/>
          <w:color w:val="525866"/>
          <w:sz w:val="22"/>
        </w:rPr>
        <w:t xml:space="preserve"> Directly validates KKR's $900M+ Q2 monetization pre-announcement; the industry-wide realization environment improved materially in Q2.</w:t>
      </w:r>
    </w:p>
    <w:p>
      <w:pPr>
        <w:pStyle w:val="ListBullet"/>
        <w:ind w:left="360" w:hanging="360"/>
      </w:pPr>
      <w:r>
        <w:rPr>
          <w:rFonts w:ascii="Calibri" w:hAnsi="Calibri"/>
          <w:b/>
          <w:color w:val="525866"/>
          <w:sz w:val="22"/>
        </w:rPr>
        <w:t>IPO Market Strengthening:</w:t>
      </w:r>
      <w:r>
        <w:rPr>
          <w:rFonts w:ascii="Calibri" w:hAnsi="Calibri"/>
          <w:color w:val="525866"/>
          <w:sz w:val="22"/>
        </w:rPr>
        <w:t xml:space="preserve"> US IPO activity increased six-fold compared to the same period last year; global issuance rose more than three-and-a-half-fold. BX executed three IPOs since May and has eight IPOs on file globally. </w:t>
      </w:r>
    </w:p>
    <w:p>
      <w:pPr>
        <w:pStyle w:val="ListBullet"/>
        <w:ind w:left="360" w:hanging="360"/>
      </w:pPr>
      <w:r>
        <w:rPr>
          <w:rFonts w:ascii="Calibri" w:hAnsi="Calibri"/>
          <w:i/>
          <w:color w:val="525866"/>
          <w:sz w:val="22"/>
        </w:rPr>
        <w:t>Read-through for KKR:</w:t>
      </w:r>
      <w:r>
        <w:rPr>
          <w:rFonts w:ascii="Calibri" w:hAnsi="Calibri"/>
          <w:color w:val="525866"/>
          <w:sz w:val="22"/>
        </w:rPr>
        <w:t xml:space="preserve"> A stronger IPO market supports KKR's embedded gains conversion and forward monetization pipeline.</w:t>
      </w:r>
    </w:p>
    <w:p>
      <w:pPr>
        <w:pStyle w:val="ListBullet"/>
        <w:ind w:left="360" w:hanging="360"/>
      </w:pPr>
      <w:r>
        <w:rPr>
          <w:rFonts w:ascii="Calibri" w:hAnsi="Calibri"/>
          <w:b/>
          <w:color w:val="525866"/>
          <w:sz w:val="22"/>
        </w:rPr>
        <w:t>Fundraising Momentum:</w:t>
      </w:r>
      <w:r>
        <w:rPr>
          <w:rFonts w:ascii="Calibri" w:hAnsi="Calibri"/>
          <w:color w:val="525866"/>
          <w:sz w:val="22"/>
        </w:rPr>
        <w:t xml:space="preserve"> Robust inflows across all channels (institutions, insurance, individual investors). Infrastructure AUM grew 40% YoY to $90 billion. BCMA AUM reached a record $109 billion, up 21% YoY. </w:t>
      </w:r>
    </w:p>
    <w:p>
      <w:pPr>
        <w:pStyle w:val="ListBullet"/>
        <w:ind w:left="360" w:hanging="360"/>
      </w:pPr>
      <w:r>
        <w:rPr>
          <w:rFonts w:ascii="Calibri" w:hAnsi="Calibri"/>
          <w:i/>
          <w:color w:val="525866"/>
          <w:sz w:val="22"/>
        </w:rPr>
        <w:t>Read-through for KKR:</w:t>
      </w:r>
      <w:r>
        <w:rPr>
          <w:rFonts w:ascii="Calibri" w:hAnsi="Calibri"/>
          <w:color w:val="525866"/>
          <w:sz w:val="22"/>
        </w:rPr>
        <w:t xml:space="preserve"> Confirms broad-based institutional demand for alternative assets; KKR's own fundraising momentum (credit particularly strong in Q1) should continue.</w:t>
      </w:r>
    </w:p>
    <w:p>
      <w:pPr>
        <w:pStyle w:val="ListBullet"/>
        <w:ind w:left="360" w:hanging="360"/>
      </w:pPr>
      <w:r>
        <w:rPr>
          <w:rFonts w:ascii="Calibri" w:hAnsi="Calibri"/>
          <w:b/>
          <w:color w:val="525866"/>
          <w:sz w:val="22"/>
        </w:rPr>
        <w:t>Wealth Channel:</w:t>
      </w:r>
      <w:r>
        <w:rPr>
          <w:rFonts w:ascii="Calibri" w:hAnsi="Calibri"/>
          <w:color w:val="525866"/>
          <w:sz w:val="22"/>
        </w:rPr>
        <w:t xml:space="preserve"> Private wealth AUM grew 16% YoY to a record $324 billion. BXP raised $2.4 billion in Q2 with June being the best sales month since launch. BCRED repurchase requests are "down materially" in Q3. </w:t>
      </w:r>
    </w:p>
    <w:p>
      <w:pPr>
        <w:pStyle w:val="ListBullet"/>
        <w:ind w:left="360" w:hanging="360"/>
      </w:pPr>
      <w:r>
        <w:rPr>
          <w:rFonts w:ascii="Calibri" w:hAnsi="Calibri"/>
          <w:i/>
          <w:color w:val="525866"/>
          <w:sz w:val="22"/>
        </w:rPr>
        <w:t>Read-through for KKR:</w:t>
      </w:r>
      <w:r>
        <w:rPr>
          <w:rFonts w:ascii="Calibri" w:hAnsi="Calibri"/>
          <w:color w:val="525866"/>
          <w:sz w:val="22"/>
        </w:rPr>
        <w:t xml:space="preserve"> Positive for KKR's wealth channel trajectory; the moderation in BCRED redemptions suggests the retail credit headwind is easing industry-wide.</w:t>
      </w:r>
    </w:p>
    <w:p>
      <w:pPr>
        <w:pStyle w:val="ListBullet"/>
        <w:ind w:left="360" w:hanging="360"/>
      </w:pPr>
      <w:r>
        <w:rPr>
          <w:rFonts w:ascii="Calibri" w:hAnsi="Calibri"/>
          <w:b/>
          <w:color w:val="525866"/>
          <w:sz w:val="22"/>
        </w:rPr>
        <w:t>AI / Digital Infrastructure:</w:t>
      </w:r>
      <w:r>
        <w:rPr>
          <w:rFonts w:ascii="Calibri" w:hAnsi="Calibri"/>
          <w:color w:val="525866"/>
          <w:sz w:val="22"/>
        </w:rPr>
        <w:t xml:space="preserve"> BX partnered with Google to build a new AI cloud provider ($5B initial investment), partnered with Anthropic, and launched BXDC (stabilized data center REIT). Data center platform grew to $185 billion of total value from $130 billion at start of 2026. </w:t>
      </w:r>
    </w:p>
    <w:p>
      <w:pPr>
        <w:pStyle w:val="ListBullet"/>
        <w:ind w:left="360" w:hanging="360"/>
      </w:pPr>
      <w:r>
        <w:rPr>
          <w:rFonts w:ascii="Calibri" w:hAnsi="Calibri"/>
          <w:i/>
          <w:color w:val="525866"/>
          <w:sz w:val="22"/>
        </w:rPr>
        <w:t>Read-through for KKR:</w:t>
      </w:r>
      <w:r>
        <w:rPr>
          <w:rFonts w:ascii="Calibri" w:hAnsi="Calibri"/>
          <w:color w:val="525866"/>
          <w:sz w:val="22"/>
        </w:rPr>
        <w:t xml:space="preserve"> Validates KKR's Helix Digital Infrastructure launch; the AI infrastructure opportunity is real and large-scale capital deployment is accelerating.</w:t>
      </w:r>
    </w:p>
    <w:p>
      <w:pPr>
        <w:pStyle w:val="ListBullet"/>
        <w:ind w:left="360" w:hanging="360"/>
      </w:pPr>
      <w:r>
        <w:rPr>
          <w:rFonts w:ascii="Calibri" w:hAnsi="Calibri"/>
          <w:b/>
          <w:color w:val="525866"/>
          <w:sz w:val="22"/>
        </w:rPr>
        <w:t>Q3 Caution:</w:t>
      </w:r>
      <w:r>
        <w:rPr>
          <w:rFonts w:ascii="Calibri" w:hAnsi="Calibri"/>
          <w:color w:val="525866"/>
          <w:sz w:val="22"/>
        </w:rPr>
        <w:t xml:space="preserve"> BX guided to a "sequential deceleration in net realizations in Q3" but anticipates a "robust Q4 and 2027." </w:t>
      </w:r>
    </w:p>
    <w:p>
      <w:pPr>
        <w:pStyle w:val="ListBullet"/>
        <w:ind w:left="360" w:hanging="360"/>
      </w:pPr>
      <w:r>
        <w:rPr>
          <w:rFonts w:ascii="Calibri" w:hAnsi="Calibri"/>
          <w:i/>
          <w:color w:val="525866"/>
          <w:sz w:val="22"/>
        </w:rPr>
        <w:t>Read-through for KKR:</w:t>
      </w:r>
      <w:r>
        <w:rPr>
          <w:rFonts w:ascii="Calibri" w:hAnsi="Calibri"/>
          <w:color w:val="525866"/>
          <w:sz w:val="22"/>
        </w:rPr>
        <w:t xml:space="preserve"> Suggests Q3 may see some moderation in monetization activity after a strong Q2; KKR's record forward pipeline provides buffer.</w:t>
      </w:r>
    </w:p>
    <w:p>
      <w:pPr>
        <w:pStyle w:val="Heading3"/>
      </w:pPr>
      <w:r>
        <w:rPr>
          <w:rFonts w:ascii="Calibri" w:hAnsi="Calibri"/>
          <w:b/>
          <w:color w:val="3B4259"/>
          <w:sz w:val="24"/>
        </w:rPr>
        <w:t>Ares Management (ARES) — Q1 2026 Earnings Call (May 1, 2026)</w:t>
      </w:r>
    </w:p>
    <w:p>
      <w:r>
        <w:rPr>
          <w:rFonts w:ascii="Calibri" w:hAnsi="Calibri"/>
          <w:color w:val="525866"/>
          <w:sz w:val="22"/>
        </w:rPr>
        <w:t>Ares reported its highest-ever first quarter of fundraising at $30 billion gross capital (up 46% vs. prior year record Q1), with AUM up 18% YoY to $644 billion. Key read-throughs for KKR:</w:t>
      </w:r>
    </w:p>
    <w:p>
      <w:pPr>
        <w:pStyle w:val="ListBullet"/>
        <w:ind w:left="360" w:hanging="360"/>
      </w:pPr>
      <w:r>
        <w:rPr>
          <w:rFonts w:ascii="Calibri" w:hAnsi="Calibri"/>
          <w:b/>
          <w:color w:val="525866"/>
          <w:sz w:val="22"/>
        </w:rPr>
        <w:t>Record Fundraising Momentum:</w:t>
      </w:r>
      <w:r>
        <w:rPr>
          <w:rFonts w:ascii="Calibri" w:hAnsi="Calibri"/>
          <w:color w:val="525866"/>
          <w:sz w:val="22"/>
        </w:rPr>
        <w:t xml:space="preserve"> Ares is "on track for another record year of fundraising." Three of their largest institutional private credit funds are in the market over the next 12 months. </w:t>
      </w:r>
    </w:p>
    <w:p>
      <w:pPr>
        <w:pStyle w:val="ListBullet"/>
        <w:ind w:left="360" w:hanging="360"/>
      </w:pPr>
      <w:r>
        <w:rPr>
          <w:rFonts w:ascii="Calibri" w:hAnsi="Calibri"/>
          <w:i/>
          <w:color w:val="525866"/>
          <w:sz w:val="22"/>
        </w:rPr>
        <w:t>Read-through for KKR:</w:t>
      </w:r>
      <w:r>
        <w:rPr>
          <w:rFonts w:ascii="Calibri" w:hAnsi="Calibri"/>
          <w:color w:val="525866"/>
          <w:sz w:val="22"/>
        </w:rPr>
        <w:t xml:space="preserve"> Confirms the institutional fundraising environment remains robust; KKR's own credit fundraising (particularly ABF) should benefit from the same tailwinds.</w:t>
      </w:r>
    </w:p>
    <w:p>
      <w:pPr>
        <w:pStyle w:val="ListBullet"/>
        <w:ind w:left="360" w:hanging="360"/>
      </w:pPr>
      <w:r>
        <w:rPr>
          <w:rFonts w:ascii="Calibri" w:hAnsi="Calibri"/>
          <w:b/>
          <w:color w:val="525866"/>
          <w:sz w:val="22"/>
        </w:rPr>
        <w:t>Private Credit Conditions Improving:</w:t>
      </w:r>
      <w:r>
        <w:rPr>
          <w:rFonts w:ascii="Calibri" w:hAnsi="Calibri"/>
          <w:color w:val="525866"/>
          <w:sz w:val="22"/>
        </w:rPr>
        <w:t xml:space="preserve"> Ares is accelerating the launch of its fourth Senior Direct Lending fund due to "improving market conditions, which are offering enhanced economics, lower leverage and improved deal terms." The forward investment pipeline reached a new record level. </w:t>
      </w:r>
    </w:p>
    <w:p>
      <w:pPr>
        <w:pStyle w:val="ListBullet"/>
        <w:ind w:left="360" w:hanging="360"/>
      </w:pPr>
      <w:r>
        <w:rPr>
          <w:rFonts w:ascii="Calibri" w:hAnsi="Calibri"/>
          <w:i/>
          <w:color w:val="525866"/>
          <w:sz w:val="22"/>
        </w:rPr>
        <w:t>Read-through for KKR:</w:t>
      </w:r>
      <w:r>
        <w:rPr>
          <w:rFonts w:ascii="Calibri" w:hAnsi="Calibri"/>
          <w:color w:val="525866"/>
          <w:sz w:val="22"/>
        </w:rPr>
        <w:t xml:space="preserve"> Validates KKR's Q1 commentary that direct lending terms improved materially post-Q1 earnings; better terms support deployment and future carry generation.</w:t>
      </w:r>
    </w:p>
    <w:p>
      <w:pPr>
        <w:pStyle w:val="ListBullet"/>
        <w:ind w:left="360" w:hanging="360"/>
      </w:pPr>
      <w:r>
        <w:rPr>
          <w:rFonts w:ascii="Calibri" w:hAnsi="Calibri"/>
          <w:b/>
          <w:color w:val="525866"/>
          <w:sz w:val="22"/>
        </w:rPr>
        <w:t>U.S. Direct Lending Slowdown in Q1, Recovery Expected:</w:t>
      </w:r>
      <w:r>
        <w:rPr>
          <w:rFonts w:ascii="Calibri" w:hAnsi="Calibri"/>
          <w:color w:val="525866"/>
          <w:sz w:val="22"/>
        </w:rPr>
        <w:t xml:space="preserve"> Industry-wide deal count and middle market M&amp;A declined 41% in Q1 2026 vs. Q1 2025 due to the Iran War and changing rate expectations. However, "over the past several weeks, we're beginning to see a pickup in new U.S. direct lending transaction activity." </w:t>
      </w:r>
    </w:p>
    <w:p>
      <w:pPr>
        <w:pStyle w:val="ListBullet"/>
        <w:ind w:left="360" w:hanging="360"/>
      </w:pPr>
      <w:r>
        <w:rPr>
          <w:rFonts w:ascii="Calibri" w:hAnsi="Calibri"/>
          <w:i/>
          <w:color w:val="525866"/>
          <w:sz w:val="22"/>
        </w:rPr>
        <w:t>Read-through for KKR:</w:t>
      </w:r>
      <w:r>
        <w:rPr>
          <w:rFonts w:ascii="Calibri" w:hAnsi="Calibri"/>
          <w:color w:val="525866"/>
          <w:sz w:val="22"/>
        </w:rPr>
        <w:t xml:space="preserve"> The Q1 slowdown was industry-wide, not KKR-specific; the recovery in Q2 supports KKR's deployment and capital markets revenue outlook.</w:t>
      </w:r>
    </w:p>
    <w:p>
      <w:pPr>
        <w:pStyle w:val="ListBullet"/>
        <w:ind w:left="360" w:hanging="360"/>
      </w:pPr>
      <w:r>
        <w:rPr>
          <w:rFonts w:ascii="Calibri" w:hAnsi="Calibri"/>
          <w:b/>
          <w:color w:val="525866"/>
          <w:sz w:val="22"/>
        </w:rPr>
        <w:t>No Broad Credit Deterioration:</w:t>
      </w:r>
      <w:r>
        <w:rPr>
          <w:rFonts w:ascii="Calibri" w:hAnsi="Calibri"/>
          <w:color w:val="525866"/>
          <w:sz w:val="22"/>
        </w:rPr>
        <w:t xml:space="preserve"> Ares is not seeing signs of an impending default cycle. Direct lending portfolios show near 10% EBITDA growth, LTV ratios in the mid-40% range, and improving interest coverage of 2.2x. Only one software company on nonaccrual. </w:t>
      </w:r>
    </w:p>
    <w:p>
      <w:pPr>
        <w:pStyle w:val="ListBullet"/>
        <w:ind w:left="360" w:hanging="360"/>
      </w:pPr>
      <w:r>
        <w:rPr>
          <w:rFonts w:ascii="Calibri" w:hAnsi="Calibri"/>
          <w:i/>
          <w:color w:val="525866"/>
          <w:sz w:val="22"/>
        </w:rPr>
        <w:t>Read-through for KKR:</w:t>
      </w:r>
      <w:r>
        <w:rPr>
          <w:rFonts w:ascii="Calibri" w:hAnsi="Calibri"/>
          <w:color w:val="525866"/>
          <w:sz w:val="22"/>
        </w:rPr>
        <w:t xml:space="preserve"> Positive for KKR's credit portfolio quality; reduces risk of NAV writedowns that could weigh on ANI.</w:t>
      </w:r>
    </w:p>
    <w:p>
      <w:pPr>
        <w:pStyle w:val="ListBullet"/>
        <w:ind w:left="360" w:hanging="360"/>
      </w:pPr>
      <w:r>
        <w:rPr>
          <w:rFonts w:ascii="Calibri" w:hAnsi="Calibri"/>
          <w:b/>
          <w:color w:val="525866"/>
          <w:sz w:val="22"/>
        </w:rPr>
        <w:t>Wealth Channel Diversification:</w:t>
      </w:r>
      <w:r>
        <w:rPr>
          <w:rFonts w:ascii="Calibri" w:hAnsi="Calibri"/>
          <w:color w:val="525866"/>
          <w:sz w:val="22"/>
        </w:rPr>
        <w:t xml:space="preserve"> Wealth AUM up 54% YoY to $68 billion. Ares is gaining market share as advisors shift from U.S. private credit to infrastructure, real estate, and private equity. </w:t>
      </w:r>
    </w:p>
    <w:p>
      <w:pPr>
        <w:pStyle w:val="ListBullet"/>
        <w:ind w:left="360" w:hanging="360"/>
      </w:pPr>
      <w:r>
        <w:rPr>
          <w:rFonts w:ascii="Calibri" w:hAnsi="Calibri"/>
          <w:i/>
          <w:color w:val="525866"/>
          <w:sz w:val="22"/>
        </w:rPr>
        <w:t>Read-through for KKR:</w:t>
      </w:r>
      <w:r>
        <w:rPr>
          <w:rFonts w:ascii="Calibri" w:hAnsi="Calibri"/>
          <w:color w:val="525866"/>
          <w:sz w:val="22"/>
        </w:rPr>
        <w:t xml:space="preserve"> KKR's wealth channel ($38B AUM, heavily weighted to PE and infrastructure) is well-positioned for this rotation.</w:t>
      </w:r>
    </w:p>
    <w:p>
      <w:pPr>
        <w:pStyle w:val="Heading3"/>
      </w:pPr>
      <w:r>
        <w:rPr>
          <w:rFonts w:ascii="Calibri" w:hAnsi="Calibri"/>
          <w:b/>
          <w:color w:val="3B4259"/>
          <w:sz w:val="24"/>
        </w:rPr>
        <w:t>Apollo Global Management (APO) — Q1 2026 Earnings Call (May 6, 2026)</w:t>
      </w:r>
    </w:p>
    <w:p>
      <w:r>
        <w:rPr>
          <w:rFonts w:ascii="Calibri" w:hAnsi="Calibri"/>
          <w:color w:val="525866"/>
          <w:sz w:val="22"/>
        </w:rPr>
        <w:t>Apollo reported "really strong" capital formation of $115 billion for Q1 (including $65B from the PIC/Athora transaction). Asset management AUM and fee-generating AUM grew 31% and 40% YoY respectively. Key read-throughs for KKR:</w:t>
      </w:r>
    </w:p>
    <w:p>
      <w:pPr>
        <w:pStyle w:val="ListBullet"/>
        <w:ind w:left="360" w:hanging="360"/>
      </w:pPr>
      <w:r>
        <w:rPr>
          <w:rFonts w:ascii="Calibri" w:hAnsi="Calibri"/>
          <w:b/>
          <w:color w:val="525866"/>
          <w:sz w:val="22"/>
        </w:rPr>
        <w:t>Institutional Investors Not Pulling Back:</w:t>
      </w:r>
      <w:r>
        <w:rPr>
          <w:rFonts w:ascii="Calibri" w:hAnsi="Calibri"/>
          <w:color w:val="525866"/>
          <w:sz w:val="22"/>
        </w:rPr>
        <w:t xml:space="preserve"> Apollo noted institutional investors are "not pulling back" and are "actively looking to deploy in a variety of precincts in credit." Momentum is "real, it's diversified and it's accelerating." </w:t>
      </w:r>
    </w:p>
    <w:p>
      <w:pPr>
        <w:pStyle w:val="ListBullet"/>
        <w:ind w:left="360" w:hanging="360"/>
      </w:pPr>
      <w:r>
        <w:rPr>
          <w:rFonts w:ascii="Calibri" w:hAnsi="Calibri"/>
          <w:i/>
          <w:color w:val="525866"/>
          <w:sz w:val="22"/>
        </w:rPr>
        <w:t>Read-through for KKR:</w:t>
      </w:r>
      <w:r>
        <w:rPr>
          <w:rFonts w:ascii="Calibri" w:hAnsi="Calibri"/>
          <w:color w:val="525866"/>
          <w:sz w:val="22"/>
        </w:rPr>
        <w:t xml:space="preserve"> Confirms the institutional LP environment remains supportive for KKR's fundraising across credit, PE, and real assets.</w:t>
      </w:r>
    </w:p>
    <w:p>
      <w:pPr>
        <w:pStyle w:val="ListBullet"/>
        <w:ind w:left="360" w:hanging="360"/>
      </w:pPr>
      <w:r>
        <w:rPr>
          <w:rFonts w:ascii="Calibri" w:hAnsi="Calibri"/>
          <w:b/>
          <w:color w:val="525866"/>
          <w:sz w:val="22"/>
        </w:rPr>
        <w:t>Insurance Platform Dynamics:</w:t>
      </w:r>
      <w:r>
        <w:rPr>
          <w:rFonts w:ascii="Calibri" w:hAnsi="Calibri"/>
          <w:color w:val="525866"/>
          <w:sz w:val="22"/>
        </w:rPr>
        <w:t xml:space="preserve"> Athene saw "lots of competition" and "irrational competition" with low spreads in Q1, but preserved spread through a strong origination pipeline. Athene holds ~$40 billion in cash and treasuries as dry powder. </w:t>
      </w:r>
    </w:p>
    <w:p>
      <w:pPr>
        <w:pStyle w:val="ListBullet"/>
        <w:ind w:left="360" w:hanging="360"/>
      </w:pPr>
      <w:r>
        <w:rPr>
          <w:rFonts w:ascii="Calibri" w:hAnsi="Calibri"/>
          <w:i/>
          <w:color w:val="525866"/>
          <w:sz w:val="22"/>
        </w:rPr>
        <w:t>Read-through for KKR:</w:t>
      </w:r>
      <w:r>
        <w:rPr>
          <w:rFonts w:ascii="Calibri" w:hAnsi="Calibri"/>
          <w:color w:val="525866"/>
          <w:sz w:val="22"/>
        </w:rPr>
        <w:t xml:space="preserve"> Validates KKR's Q1 commentary about deliberate pullback in retail origination amid competitive pressure; the insurance competitive environment is industry-wide, not KKR-specific.</w:t>
      </w:r>
    </w:p>
    <w:p>
      <w:pPr>
        <w:pStyle w:val="ListBullet"/>
        <w:ind w:left="360" w:hanging="360"/>
      </w:pPr>
      <w:r>
        <w:rPr>
          <w:rFonts w:ascii="Calibri" w:hAnsi="Calibri"/>
          <w:b/>
          <w:color w:val="525866"/>
          <w:sz w:val="22"/>
        </w:rPr>
        <w:t>FRE Growth Reaffirmed:</w:t>
      </w:r>
      <w:r>
        <w:rPr>
          <w:rFonts w:ascii="Calibri" w:hAnsi="Calibri"/>
          <w:color w:val="525866"/>
          <w:sz w:val="22"/>
        </w:rPr>
        <w:t xml:space="preserve"> Apollo reaffirmed its "20%-plus FRE growth outlook" for 2026, underpinned by expected strong inflows and a robust origination pipeline. </w:t>
      </w:r>
    </w:p>
    <w:p>
      <w:pPr>
        <w:pStyle w:val="ListBullet"/>
        <w:ind w:left="360" w:hanging="360"/>
      </w:pPr>
      <w:r>
        <w:rPr>
          <w:rFonts w:ascii="Calibri" w:hAnsi="Calibri"/>
          <w:i/>
          <w:color w:val="525866"/>
          <w:sz w:val="22"/>
        </w:rPr>
        <w:t>Read-through for KKR:</w:t>
      </w:r>
      <w:r>
        <w:rPr>
          <w:rFonts w:ascii="Calibri" w:hAnsi="Calibri"/>
          <w:color w:val="525866"/>
          <w:sz w:val="22"/>
        </w:rPr>
        <w:t xml:space="preserve"> Peer FRE growth trajectory is consistent with KKR's own $4.50+ target; the sector-wide FRE growth story remains intact.</w:t>
      </w:r>
    </w:p>
    <w:p>
      <w:pPr>
        <w:pStyle w:val="ListBullet"/>
        <w:ind w:left="360" w:hanging="360"/>
      </w:pPr>
      <w:r>
        <w:rPr>
          <w:rFonts w:ascii="Calibri" w:hAnsi="Calibri"/>
          <w:b/>
          <w:color w:val="525866"/>
          <w:sz w:val="22"/>
        </w:rPr>
        <w:t>Defensive Posture in Equity:</w:t>
      </w:r>
      <w:r>
        <w:rPr>
          <w:rFonts w:ascii="Calibri" w:hAnsi="Calibri"/>
          <w:color w:val="525866"/>
          <w:sz w:val="22"/>
        </w:rPr>
        <w:t xml:space="preserve"> Apollo maintains "0 exposure to software" in PE and Hybrid Equity, citing AI disruption risk. </w:t>
      </w:r>
    </w:p>
    <w:p>
      <w:pPr>
        <w:pStyle w:val="ListBullet"/>
        <w:ind w:left="360" w:hanging="360"/>
      </w:pPr>
      <w:r>
        <w:rPr>
          <w:rFonts w:ascii="Calibri" w:hAnsi="Calibri"/>
          <w:i/>
          <w:color w:val="525866"/>
          <w:sz w:val="22"/>
        </w:rPr>
        <w:t>Read-through for KKR:</w:t>
      </w:r>
      <w:r>
        <w:rPr>
          <w:rFonts w:ascii="Calibri" w:hAnsi="Calibri"/>
          <w:color w:val="525866"/>
          <w:sz w:val="22"/>
        </w:rPr>
        <w:t xml:space="preserve"> KKR's own software exposure concerns (flagged by management as a reason the stock was being grouped with SaaS names) are shared across the industry; selective avoidance of software is the consensus posture.</w:t>
      </w:r>
    </w:p>
    <w:p>
      <w:pPr>
        <w:pStyle w:val="Heading3"/>
      </w:pPr>
      <w:r>
        <w:rPr>
          <w:rFonts w:ascii="Calibri" w:hAnsi="Calibri"/>
          <w:b/>
          <w:color w:val="3B4259"/>
          <w:sz w:val="24"/>
        </w:rPr>
        <w:t>Brookfield Asset Management (BAM) — Q1 2026 Earnings Call (May 8, 2026)</w:t>
      </w:r>
    </w:p>
    <w:p>
      <w:r>
        <w:rPr>
          <w:rFonts w:ascii="Calibri" w:hAnsi="Calibri"/>
          <w:color w:val="525866"/>
          <w:sz w:val="22"/>
        </w:rPr>
        <w:t>BAM raised $21 billion in Q1 2026 and expects 2026 to be its "largest fundraising year ever." Year-to-date fundraising stands at $67 billion. Key read-throughs for KKR:</w:t>
      </w:r>
    </w:p>
    <w:p>
      <w:pPr>
        <w:pStyle w:val="ListBullet"/>
        <w:ind w:left="360" w:hanging="360"/>
      </w:pPr>
      <w:r>
        <w:rPr>
          <w:rFonts w:ascii="Calibri" w:hAnsi="Calibri"/>
          <w:b/>
          <w:color w:val="525866"/>
          <w:sz w:val="22"/>
        </w:rPr>
        <w:t>M&amp;A Activity Picking Up:</w:t>
      </w:r>
      <w:r>
        <w:rPr>
          <w:rFonts w:ascii="Calibri" w:hAnsi="Calibri"/>
          <w:color w:val="525866"/>
          <w:sz w:val="22"/>
        </w:rPr>
        <w:t xml:space="preserve"> BAM noted that "M&amp;A has picked up, particularly in larger strategic transactions where buyers are moving with greater conviction." Both corporates and sponsors are "increasingly willing to transact." BAM invested or committed $34 billion and generated approximately $8 billion of equity proceeds from monetization in Q1. </w:t>
      </w:r>
    </w:p>
    <w:p>
      <w:pPr>
        <w:pStyle w:val="ListBullet"/>
        <w:ind w:left="360" w:hanging="360"/>
      </w:pPr>
      <w:r>
        <w:rPr>
          <w:rFonts w:ascii="Calibri" w:hAnsi="Calibri"/>
          <w:i/>
          <w:color w:val="525866"/>
          <w:sz w:val="22"/>
        </w:rPr>
        <w:t>Read-through for KKR:</w:t>
      </w:r>
      <w:r>
        <w:rPr>
          <w:rFonts w:ascii="Calibri" w:hAnsi="Calibri"/>
          <w:color w:val="525866"/>
          <w:sz w:val="22"/>
        </w:rPr>
        <w:t xml:space="preserve"> Validates KKR's record forward monetization pipeline; the deal environment is improving, supporting KKR's Q2 monetization pre-announcement.</w:t>
      </w:r>
    </w:p>
    <w:p>
      <w:pPr>
        <w:pStyle w:val="ListBullet"/>
        <w:ind w:left="360" w:hanging="360"/>
      </w:pPr>
      <w:r>
        <w:rPr>
          <w:rFonts w:ascii="Calibri" w:hAnsi="Calibri"/>
          <w:b/>
          <w:color w:val="525866"/>
          <w:sz w:val="22"/>
        </w:rPr>
        <w:t>Real Estate Recovery Accelerating:</w:t>
      </w:r>
      <w:r>
        <w:rPr>
          <w:rFonts w:ascii="Calibri" w:hAnsi="Calibri"/>
          <w:color w:val="525866"/>
          <w:sz w:val="22"/>
        </w:rPr>
        <w:t xml:space="preserve"> BAM described the real estate recovery as "accelerating," with improving sentiment, materially stronger financing markets, and muted new supply. BAM is targeting ~$20 billion of real estate transactions in a two-month period. </w:t>
      </w:r>
    </w:p>
    <w:p>
      <w:pPr>
        <w:pStyle w:val="ListBullet"/>
        <w:ind w:left="360" w:hanging="360"/>
      </w:pPr>
      <w:r>
        <w:rPr>
          <w:rFonts w:ascii="Calibri" w:hAnsi="Calibri"/>
          <w:i/>
          <w:color w:val="525866"/>
          <w:sz w:val="22"/>
        </w:rPr>
        <w:t>Read-through for KKR:</w:t>
      </w:r>
      <w:r>
        <w:rPr>
          <w:rFonts w:ascii="Calibri" w:hAnsi="Calibri"/>
          <w:color w:val="525866"/>
          <w:sz w:val="22"/>
        </w:rPr>
        <w:t xml:space="preserve"> Positive for KKR's real estate portfolio valuations and potential monetization of real estate assets.</w:t>
      </w:r>
    </w:p>
    <w:p>
      <w:pPr>
        <w:pStyle w:val="ListBullet"/>
        <w:ind w:left="360" w:hanging="360"/>
      </w:pPr>
      <w:r>
        <w:rPr>
          <w:rFonts w:ascii="Calibri" w:hAnsi="Calibri"/>
          <w:b/>
          <w:color w:val="525866"/>
          <w:sz w:val="22"/>
        </w:rPr>
        <w:t>Infrastructure Demand Exceptional:</w:t>
      </w:r>
      <w:r>
        <w:rPr>
          <w:rFonts w:ascii="Calibri" w:hAnsi="Calibri"/>
          <w:color w:val="525866"/>
          <w:sz w:val="22"/>
        </w:rPr>
        <w:t xml:space="preserve"> BAM described being in "the greatest infrastructure capital deployment environment in the history of time," with all infrastructure funds currently in the market. </w:t>
      </w:r>
    </w:p>
    <w:p>
      <w:pPr>
        <w:pStyle w:val="ListBullet"/>
        <w:ind w:left="360" w:hanging="360"/>
      </w:pPr>
      <w:r>
        <w:rPr>
          <w:rFonts w:ascii="Calibri" w:hAnsi="Calibri"/>
          <w:i/>
          <w:color w:val="525866"/>
          <w:sz w:val="22"/>
        </w:rPr>
        <w:t>Read-through for KKR:</w:t>
      </w:r>
      <w:r>
        <w:rPr>
          <w:rFonts w:ascii="Calibri" w:hAnsi="Calibri"/>
          <w:color w:val="525866"/>
          <w:sz w:val="22"/>
        </w:rPr>
        <w:t xml:space="preserve"> Validates KKR's infrastructure fundraising momentum (Fund V currently raising; Fund IV described as highest-performing in strategy history at 3-year mark).</w:t>
      </w:r>
    </w:p>
    <w:p>
      <w:pPr>
        <w:pStyle w:val="ListBullet"/>
        <w:ind w:left="360" w:hanging="360"/>
      </w:pPr>
      <w:r>
        <w:rPr>
          <w:rFonts w:ascii="Calibri" w:hAnsi="Calibri"/>
          <w:b/>
          <w:color w:val="525866"/>
          <w:sz w:val="22"/>
        </w:rPr>
        <w:t>FRE Outperformance "Largely Secured":</w:t>
      </w:r>
      <w:r>
        <w:rPr>
          <w:rFonts w:ascii="Calibri" w:hAnsi="Calibri"/>
          <w:color w:val="525866"/>
          <w:sz w:val="22"/>
        </w:rPr>
        <w:t xml:space="preserve"> BAM management stated that FRE outperformance for the remainder of 2026 "feels largely secured," driven by flagship PE and infrastructure fund fee turn-ons, the Just Group mandate, and the Oaktree acquisition. </w:t>
      </w:r>
    </w:p>
    <w:p>
      <w:pPr>
        <w:pStyle w:val="ListBullet"/>
        <w:ind w:left="360" w:hanging="360"/>
      </w:pPr>
      <w:r>
        <w:rPr>
          <w:rFonts w:ascii="Calibri" w:hAnsi="Calibri"/>
          <w:i/>
          <w:color w:val="525866"/>
          <w:sz w:val="22"/>
        </w:rPr>
        <w:t>Read-through for KKR:</w:t>
      </w:r>
      <w:r>
        <w:rPr>
          <w:rFonts w:ascii="Calibri" w:hAnsi="Calibri"/>
          <w:color w:val="525866"/>
          <w:sz w:val="22"/>
        </w:rPr>
        <w:t xml:space="preserve"> Sector-wide FRE visibility is high; KKR's own FRE trajectory benefits from the same fundraising and deployment tailwinds.</w:t>
      </w:r>
    </w:p>
    <w:p>
      <w:pPr>
        <w:pStyle w:val="ListBullet"/>
        <w:ind w:left="360" w:hanging="360"/>
      </w:pPr>
      <w:r>
        <w:rPr>
          <w:rFonts w:ascii="Calibri" w:hAnsi="Calibri"/>
          <w:b/>
          <w:color w:val="525866"/>
          <w:sz w:val="22"/>
        </w:rPr>
        <w:t>Private Credit Cycle Positioning:</w:t>
      </w:r>
      <w:r>
        <w:rPr>
          <w:rFonts w:ascii="Calibri" w:hAnsi="Calibri"/>
          <w:color w:val="525866"/>
          <w:sz w:val="22"/>
        </w:rPr>
        <w:t xml:space="preserve"> Oaktree (BAM subsidiary) sees "sector-specific distress" in software, building products, chemicals, autos, and packaging, and is "getting ready for a big opportunity" in opportunistic credit over the next 2 years. </w:t>
      </w:r>
    </w:p>
    <w:p>
      <w:pPr>
        <w:pStyle w:val="ListBullet"/>
        <w:ind w:left="360" w:hanging="360"/>
      </w:pPr>
      <w:r>
        <w:rPr>
          <w:rFonts w:ascii="Calibri" w:hAnsi="Calibri"/>
          <w:i/>
          <w:color w:val="525866"/>
          <w:sz w:val="22"/>
        </w:rPr>
        <w:t>Read-through for KKR:</w:t>
      </w:r>
      <w:r>
        <w:rPr>
          <w:rFonts w:ascii="Calibri" w:hAnsi="Calibri"/>
          <w:color w:val="525866"/>
          <w:sz w:val="22"/>
        </w:rPr>
        <w:t xml:space="preserve"> Consistent with KKR's view that the credit cycle creates deployment opportunities; KKR's ABF platform ($6-9 trillion addressable market) is positioned to benefit.</w:t>
      </w:r>
    </w:p>
    <w:p>
      <w:pPr>
        <w:pStyle w:val="Heading3"/>
      </w:pPr>
      <w:r>
        <w:rPr>
          <w:rFonts w:ascii="Calibri" w:hAnsi="Calibri"/>
          <w:b/>
          <w:color w:val="3B4259"/>
          <w:sz w:val="24"/>
        </w:rPr>
        <w:t>Carlyle Group (CG) — Q1 2026 Earnings Call (May 7, 2026)</w:t>
      </w:r>
    </w:p>
    <w:p>
      <w:r>
        <w:rPr>
          <w:rFonts w:ascii="Calibri" w:hAnsi="Calibri"/>
          <w:color w:val="525866"/>
          <w:sz w:val="22"/>
        </w:rPr>
        <w:t>Carlyle attracted $13 billion of new capital in Q1 2026, with record quarterly inflows of $6.8 billion at Carlyle AlpInvest (AUM up 20% YoY to $107 billion). Key read-throughs for KKR:</w:t>
      </w:r>
    </w:p>
    <w:p>
      <w:pPr>
        <w:pStyle w:val="ListBullet"/>
        <w:ind w:left="360" w:hanging="360"/>
      </w:pPr>
      <w:r>
        <w:rPr>
          <w:rFonts w:ascii="Calibri" w:hAnsi="Calibri"/>
          <w:b/>
          <w:color w:val="525866"/>
          <w:sz w:val="22"/>
        </w:rPr>
        <w:t>Transaction Fee Revenue Pickup Expected in Q2:</w:t>
      </w:r>
      <w:r>
        <w:rPr>
          <w:rFonts w:ascii="Calibri" w:hAnsi="Calibri"/>
          <w:color w:val="525866"/>
          <w:sz w:val="22"/>
        </w:rPr>
        <w:t xml:space="preserve"> Carlyle produced $54 million in transaction fees in Q1 and expects this to "increase next quarter driven by the completion of several transactions that have already signed or closed." CFO noted "a lot of activity in the first month of Q2." </w:t>
      </w:r>
    </w:p>
    <w:p>
      <w:pPr>
        <w:pStyle w:val="ListBullet"/>
        <w:ind w:left="360" w:hanging="360"/>
      </w:pPr>
      <w:r>
        <w:rPr>
          <w:rFonts w:ascii="Calibri" w:hAnsi="Calibri"/>
          <w:i/>
          <w:color w:val="525866"/>
          <w:sz w:val="22"/>
        </w:rPr>
        <w:t>Read-through for KKR:</w:t>
      </w:r>
      <w:r>
        <w:rPr>
          <w:rFonts w:ascii="Calibri" w:hAnsi="Calibri"/>
          <w:color w:val="525866"/>
          <w:sz w:val="22"/>
        </w:rPr>
        <w:t xml:space="preserve"> Positive for KKR's capital markets revenue line in Q2; the transaction fee environment is improving across the industry.</w:t>
      </w:r>
    </w:p>
    <w:p>
      <w:pPr>
        <w:pStyle w:val="ListBullet"/>
        <w:ind w:left="360" w:hanging="360"/>
      </w:pPr>
      <w:r>
        <w:rPr>
          <w:rFonts w:ascii="Calibri" w:hAnsi="Calibri"/>
          <w:b/>
          <w:color w:val="525866"/>
          <w:sz w:val="22"/>
        </w:rPr>
        <w:t>Realizations Near Record:</w:t>
      </w:r>
      <w:r>
        <w:rPr>
          <w:rFonts w:ascii="Calibri" w:hAnsi="Calibri"/>
          <w:color w:val="525866"/>
          <w:sz w:val="22"/>
        </w:rPr>
        <w:t xml:space="preserve"> Carlyle generated $12 billion of realized proceeds in Q1, its "third best quarter ever," and returned a record amount of capital to U.S. Buyout Fund investors (more than 40% higher than the prior record set in 2021). </w:t>
      </w:r>
    </w:p>
    <w:p>
      <w:pPr>
        <w:pStyle w:val="ListBullet"/>
        <w:ind w:left="360" w:hanging="360"/>
      </w:pPr>
      <w:r>
        <w:rPr>
          <w:rFonts w:ascii="Calibri" w:hAnsi="Calibri"/>
          <w:i/>
          <w:color w:val="525866"/>
          <w:sz w:val="22"/>
        </w:rPr>
        <w:t>Read-through for KKR:</w:t>
      </w:r>
      <w:r>
        <w:rPr>
          <w:rFonts w:ascii="Calibri" w:hAnsi="Calibri"/>
          <w:color w:val="525866"/>
          <w:sz w:val="22"/>
        </w:rPr>
        <w:t xml:space="preserve"> Confirms the realization environment was strong in Q1 and validates KKR's own strong Q1 monetization; the pipeline for Q2 and beyond remains deep.</w:t>
      </w:r>
    </w:p>
    <w:p>
      <w:pPr>
        <w:pStyle w:val="ListBullet"/>
        <w:ind w:left="360" w:hanging="360"/>
      </w:pPr>
      <w:r>
        <w:rPr>
          <w:rFonts w:ascii="Calibri" w:hAnsi="Calibri"/>
          <w:b/>
          <w:color w:val="525866"/>
          <w:sz w:val="22"/>
        </w:rPr>
        <w:t>Management Fee Growth Accelerating:</w:t>
      </w:r>
      <w:r>
        <w:rPr>
          <w:rFonts w:ascii="Calibri" w:hAnsi="Calibri"/>
          <w:color w:val="525866"/>
          <w:sz w:val="22"/>
        </w:rPr>
        <w:t xml:space="preserve"> Carlyle's LTM management fee growth rate of 7% is expected to "accelerate as we go into the super cycle" given strong LP feedback. </w:t>
      </w:r>
    </w:p>
    <w:p>
      <w:pPr>
        <w:pStyle w:val="ListBullet"/>
        <w:ind w:left="360" w:hanging="360"/>
      </w:pPr>
      <w:r>
        <w:rPr>
          <w:rFonts w:ascii="Calibri" w:hAnsi="Calibri"/>
          <w:i/>
          <w:color w:val="525866"/>
          <w:sz w:val="22"/>
        </w:rPr>
        <w:t>Read-through for KKR:</w:t>
      </w:r>
      <w:r>
        <w:rPr>
          <w:rFonts w:ascii="Calibri" w:hAnsi="Calibri"/>
          <w:color w:val="525866"/>
          <w:sz w:val="22"/>
        </w:rPr>
        <w:t xml:space="preserve"> Validates KKR's management fee growth trajectory (up ~19% YoY in Q1 2026); the fundraising super-cycle is a sector-wide tailwind.</w:t>
      </w:r>
    </w:p>
    <w:p>
      <w:pPr>
        <w:pStyle w:val="ListBullet"/>
        <w:ind w:left="360" w:hanging="360"/>
      </w:pPr>
      <w:r>
        <w:rPr>
          <w:rFonts w:ascii="Calibri" w:hAnsi="Calibri"/>
          <w:b/>
          <w:color w:val="525866"/>
          <w:sz w:val="22"/>
        </w:rPr>
        <w:t>Dry Powder at Record $96 Billion:</w:t>
      </w:r>
      <w:r>
        <w:rPr>
          <w:rFonts w:ascii="Calibri" w:hAnsi="Calibri"/>
          <w:color w:val="525866"/>
          <w:sz w:val="22"/>
        </w:rPr>
        <w:t xml:space="preserve"> Carlyle's dry powder is at a record, up 13% YoY. </w:t>
      </w:r>
    </w:p>
    <w:p>
      <w:pPr>
        <w:pStyle w:val="ListBullet"/>
        <w:ind w:left="360" w:hanging="360"/>
      </w:pPr>
      <w:r>
        <w:rPr>
          <w:rFonts w:ascii="Calibri" w:hAnsi="Calibri"/>
          <w:i/>
          <w:color w:val="525866"/>
          <w:sz w:val="22"/>
        </w:rPr>
        <w:t>Read-through for KKR:</w:t>
      </w:r>
      <w:r>
        <w:rPr>
          <w:rFonts w:ascii="Calibri" w:hAnsi="Calibri"/>
          <w:color w:val="525866"/>
          <w:sz w:val="22"/>
        </w:rPr>
        <w:t xml:space="preserve"> Consistent with KKR's own ~$125 billion dry powder; high dry powder across the industry supports future fee generation.</w:t>
      </w:r>
    </w:p>
    <w:p>
      <w:pPr>
        <w:pStyle w:val="Heading3"/>
      </w:pPr>
      <w:r>
        <w:rPr>
          <w:rFonts w:ascii="Calibri" w:hAnsi="Calibri"/>
          <w:b/>
          <w:color w:val="3B4259"/>
          <w:sz w:val="24"/>
        </w:rPr>
        <w:t>TPG Inc. (TPG) — Q1 2026 Earnings Call (May 1, 2026)</w:t>
      </w:r>
    </w:p>
    <w:p>
      <w:r>
        <w:rPr>
          <w:rFonts w:ascii="Calibri" w:hAnsi="Calibri"/>
          <w:color w:val="525866"/>
          <w:sz w:val="22"/>
        </w:rPr>
        <w:t>TPG remains on track to raise more than $50 billion in 2026, with private equity deployment of nearly $7 billion in Q1 (2.5x prior year). Key read-throughs for KKR:</w:t>
      </w:r>
    </w:p>
    <w:p>
      <w:pPr>
        <w:pStyle w:val="ListBullet"/>
        <w:ind w:left="360" w:hanging="360"/>
      </w:pPr>
      <w:r>
        <w:rPr>
          <w:rFonts w:ascii="Calibri" w:hAnsi="Calibri"/>
          <w:b/>
          <w:color w:val="525866"/>
          <w:sz w:val="22"/>
        </w:rPr>
        <w:t>GP-Led Secondaries Pipeline Accelerating:</w:t>
      </w:r>
      <w:r>
        <w:rPr>
          <w:rFonts w:ascii="Calibri" w:hAnsi="Calibri"/>
          <w:color w:val="525866"/>
          <w:sz w:val="22"/>
        </w:rPr>
        <w:t xml:space="preserve"> TPG's GP-led secondaries investment pipelines are accelerating, with industry deal volumes expected to exceed 2025 (a record year for single-asset continuation vehicles). </w:t>
      </w:r>
    </w:p>
    <w:p>
      <w:pPr>
        <w:pStyle w:val="ListBullet"/>
        <w:ind w:left="360" w:hanging="360"/>
      </w:pPr>
      <w:r>
        <w:rPr>
          <w:rFonts w:ascii="Calibri" w:hAnsi="Calibri"/>
          <w:i/>
          <w:color w:val="525866"/>
          <w:sz w:val="22"/>
        </w:rPr>
        <w:t>Read-through for KKR:</w:t>
      </w:r>
      <w:r>
        <w:rPr>
          <w:rFonts w:ascii="Calibri" w:hAnsi="Calibri"/>
          <w:color w:val="525866"/>
          <w:sz w:val="22"/>
        </w:rPr>
        <w:t xml:space="preserve"> Validates KKR's Arctos/KKR Solutions platform positioning in GP solutions and secondaries; the market opportunity is growing.</w:t>
      </w:r>
    </w:p>
    <w:p>
      <w:pPr>
        <w:pStyle w:val="ListBullet"/>
        <w:ind w:left="360" w:hanging="360"/>
      </w:pPr>
      <w:r>
        <w:rPr>
          <w:rFonts w:ascii="Calibri" w:hAnsi="Calibri"/>
          <w:b/>
          <w:color w:val="525866"/>
          <w:sz w:val="22"/>
        </w:rPr>
        <w:t>Credit Solutions Pipeline "Never Been Stronger":</w:t>
      </w:r>
      <w:r>
        <w:rPr>
          <w:rFonts w:ascii="Calibri" w:hAnsi="Calibri"/>
          <w:color w:val="525866"/>
          <w:sz w:val="22"/>
        </w:rPr>
        <w:t xml:space="preserve"> TPG's Credit Solutions pipeline is at its strongest ever, driven by increased market volatility, balance sheet stress, and dispersion in credit valuations. </w:t>
      </w:r>
    </w:p>
    <w:p>
      <w:pPr>
        <w:pStyle w:val="ListBullet"/>
        <w:ind w:left="360" w:hanging="360"/>
      </w:pPr>
      <w:r>
        <w:rPr>
          <w:rFonts w:ascii="Calibri" w:hAnsi="Calibri"/>
          <w:i/>
          <w:color w:val="525866"/>
          <w:sz w:val="22"/>
        </w:rPr>
        <w:t>Read-through for KKR:</w:t>
      </w:r>
      <w:r>
        <w:rPr>
          <w:rFonts w:ascii="Calibri" w:hAnsi="Calibri"/>
          <w:color w:val="525866"/>
          <w:sz w:val="22"/>
        </w:rPr>
        <w:t xml:space="preserve"> Consistent with KKR's view that market volatility creates deployment opportunities in credit; KKR's ABF and opportunistic credit platforms are well-positioned.</w:t>
      </w:r>
    </w:p>
    <w:p>
      <w:pPr>
        <w:pStyle w:val="ListBullet"/>
        <w:ind w:left="360" w:hanging="360"/>
      </w:pPr>
      <w:r>
        <w:rPr>
          <w:rFonts w:ascii="Calibri" w:hAnsi="Calibri"/>
          <w:b/>
          <w:color w:val="525866"/>
          <w:sz w:val="22"/>
        </w:rPr>
        <w:t>AI as Positive Catalyst for PE:</w:t>
      </w:r>
      <w:r>
        <w:rPr>
          <w:rFonts w:ascii="Calibri" w:hAnsi="Calibri"/>
          <w:color w:val="525866"/>
          <w:sz w:val="22"/>
        </w:rPr>
        <w:t xml:space="preserve"> TPG views AI as "the most positive weapon that we've seen in a long time in private equity" and expects the conversation to shift from defensive to offensive within 3-6 months. </w:t>
      </w:r>
    </w:p>
    <w:p>
      <w:pPr>
        <w:pStyle w:val="ListBullet"/>
        <w:ind w:left="360" w:hanging="360"/>
      </w:pPr>
      <w:r>
        <w:rPr>
          <w:rFonts w:ascii="Calibri" w:hAnsi="Calibri"/>
          <w:i/>
          <w:color w:val="525866"/>
          <w:sz w:val="22"/>
        </w:rPr>
        <w:t>Read-through for KKR:</w:t>
      </w:r>
      <w:r>
        <w:rPr>
          <w:rFonts w:ascii="Calibri" w:hAnsi="Calibri"/>
          <w:color w:val="525866"/>
          <w:sz w:val="22"/>
        </w:rPr>
        <w:t xml:space="preserve"> Validates KKR's Helix Digital Infrastructure thesis and broader AI deployment strategy; the sector is moving from risk management to opportunity capture.</w:t>
      </w:r>
    </w:p>
    <w:p>
      <w:pPr>
        <w:pStyle w:val="ListBullet"/>
        <w:ind w:left="360" w:hanging="360"/>
      </w:pPr>
      <w:r>
        <w:rPr>
          <w:rFonts w:ascii="Calibri" w:hAnsi="Calibri"/>
          <w:b/>
          <w:color w:val="525866"/>
          <w:sz w:val="22"/>
        </w:rPr>
        <w:t>Private Wealth Inflows Up 130% YoY:</w:t>
      </w:r>
      <w:r>
        <w:rPr>
          <w:rFonts w:ascii="Calibri" w:hAnsi="Calibri"/>
          <w:color w:val="525866"/>
          <w:sz w:val="22"/>
        </w:rPr>
        <w:t xml:space="preserve"> TPG's private wealth inflows grew more than 130% year-over-year in Q1. </w:t>
      </w:r>
    </w:p>
    <w:p>
      <w:pPr>
        <w:pStyle w:val="ListBullet"/>
        <w:ind w:left="360" w:hanging="360"/>
      </w:pPr>
      <w:r>
        <w:rPr>
          <w:rFonts w:ascii="Calibri" w:hAnsi="Calibri"/>
          <w:i/>
          <w:color w:val="525866"/>
          <w:sz w:val="22"/>
        </w:rPr>
        <w:t>Read-through for KKR:</w:t>
      </w:r>
      <w:r>
        <w:rPr>
          <w:rFonts w:ascii="Calibri" w:hAnsi="Calibri"/>
          <w:color w:val="525866"/>
          <w:sz w:val="22"/>
        </w:rPr>
        <w:t xml:space="preserve"> Validates KKR's wealth channel momentum ($38B AUM, accelerating); the wealth channel is a sector-wide growth driver.</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Form 4 activity in the window involves Henry Kravis (10% Owner) — a large open-market sale of ~$14.7M in June 2026 alongside smaller acquisition transactions; the sale appears to be a discretionary disposition by a co-founder managing a large personal position, not a signal of deteriorating conviction (co-CEOs purchased stock personally during Q1 per the earnings call).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Henry R. Kravis</w:t>
            </w:r>
          </w:p>
        </w:tc>
        <w:tc>
          <w:tcPr>
            <w:tcW w:type="dxa" w:w="1440"/>
          </w:tcPr>
          <w:p>
            <w:r>
              <w:rPr>
                <w:rFonts w:ascii="Calibri" w:hAnsi="Calibri"/>
                <w:sz w:val="22"/>
              </w:rPr>
              <w:t>10% Owner (Co-Founder)</w:t>
            </w:r>
          </w:p>
        </w:tc>
        <w:tc>
          <w:tcPr>
            <w:tcW w:type="dxa" w:w="1440"/>
          </w:tcPr>
          <w:p>
            <w:r>
              <w:rPr>
                <w:rFonts w:ascii="Calibri" w:hAnsi="Calibri"/>
                <w:sz w:val="22"/>
              </w:rPr>
              <w:t>Acquisition (Code J)</w:t>
            </w:r>
          </w:p>
        </w:tc>
        <w:tc>
          <w:tcPr>
            <w:tcW w:type="dxa" w:w="1440"/>
          </w:tcPr>
          <w:p>
            <w:r>
              <w:rPr>
                <w:rFonts w:ascii="Calibri" w:hAnsi="Calibri"/>
                <w:sz w:val="22"/>
              </w:rPr>
              <w:t>~105,871 shares (Class I Common)</w:t>
            </w:r>
          </w:p>
        </w:tc>
        <w:tc>
          <w:tcPr>
            <w:tcW w:type="dxa" w:w="1440"/>
          </w:tcPr>
          <w:p>
            <w:r>
              <w:rPr>
                <w:rFonts w:ascii="Calibri" w:hAnsi="Calibri"/>
                <w:sz w:val="22"/>
              </w:rPr>
              <w:t>June 30, 2026</w:t>
            </w:r>
          </w:p>
        </w:tc>
        <w:tc>
          <w:tcPr>
            <w:tcW w:type="dxa" w:w="1440"/>
          </w:tcPr>
          <w:p>
            <w:r>
              <w:rPr>
                <w:rFonts w:ascii="Calibri" w:hAnsi="Calibri"/>
                <w:sz w:val="22"/>
              </w:rPr>
              <w:t>Non-open-market acquisition (Code J = other acquisition); likely compensation or conversion event; not a discretionary open-market buy</w:t>
            </w:r>
          </w:p>
        </w:tc>
      </w:tr>
      <w:tr>
        <w:tc>
          <w:tcPr>
            <w:tcW w:type="dxa" w:w="1440"/>
          </w:tcPr>
          <w:p>
            <w:r>
              <w:rPr>
                <w:rFonts w:ascii="Calibri" w:hAnsi="Calibri"/>
                <w:sz w:val="22"/>
              </w:rPr>
              <w:t>Henry R. Kravis</w:t>
            </w:r>
          </w:p>
        </w:tc>
        <w:tc>
          <w:tcPr>
            <w:tcW w:type="dxa" w:w="1440"/>
          </w:tcPr>
          <w:p>
            <w:r>
              <w:rPr>
                <w:rFonts w:ascii="Calibri" w:hAnsi="Calibri"/>
                <w:sz w:val="22"/>
              </w:rPr>
              <w:t>10% Owner (Co-Founder)</w:t>
            </w:r>
          </w:p>
        </w:tc>
        <w:tc>
          <w:tcPr>
            <w:tcW w:type="dxa" w:w="1440"/>
          </w:tcPr>
          <w:p>
            <w:r>
              <w:rPr>
                <w:rFonts w:ascii="Calibri" w:hAnsi="Calibri"/>
                <w:sz w:val="22"/>
              </w:rPr>
              <w:t>Disposition (Code G — Gift)</w:t>
            </w:r>
          </w:p>
        </w:tc>
        <w:tc>
          <w:tcPr>
            <w:tcW w:type="dxa" w:w="1440"/>
          </w:tcPr>
          <w:p>
            <w:r>
              <w:rPr>
                <w:rFonts w:ascii="Calibri" w:hAnsi="Calibri"/>
                <w:sz w:val="22"/>
              </w:rPr>
              <w:t>~60,190 shares (Common Stock)</w:t>
            </w:r>
          </w:p>
        </w:tc>
        <w:tc>
          <w:tcPr>
            <w:tcW w:type="dxa" w:w="1440"/>
          </w:tcPr>
          <w:p>
            <w:r>
              <w:rPr>
                <w:rFonts w:ascii="Calibri" w:hAnsi="Calibri"/>
                <w:sz w:val="22"/>
              </w:rPr>
              <w:t>June 5, 2026</w:t>
            </w:r>
          </w:p>
        </w:tc>
        <w:tc>
          <w:tcPr>
            <w:tcW w:type="dxa" w:w="1440"/>
          </w:tcPr>
          <w:p>
            <w:r>
              <w:rPr>
                <w:rFonts w:ascii="Calibri" w:hAnsi="Calibri"/>
                <w:sz w:val="22"/>
              </w:rPr>
              <w:t>Gift/charitable disposition; not a market sale; no economic signal</w:t>
            </w:r>
          </w:p>
        </w:tc>
      </w:tr>
      <w:tr>
        <w:tc>
          <w:tcPr>
            <w:tcW w:type="dxa" w:w="1440"/>
          </w:tcPr>
          <w:p>
            <w:r>
              <w:rPr>
                <w:rFonts w:ascii="Calibri" w:hAnsi="Calibri"/>
                <w:sz w:val="22"/>
              </w:rPr>
              <w:t>Henry R. Kravis</w:t>
            </w:r>
          </w:p>
        </w:tc>
        <w:tc>
          <w:tcPr>
            <w:tcW w:type="dxa" w:w="1440"/>
          </w:tcPr>
          <w:p>
            <w:r>
              <w:rPr>
                <w:rFonts w:ascii="Calibri" w:hAnsi="Calibri"/>
                <w:sz w:val="22"/>
              </w:rPr>
              <w:t>10% Owner (Co-Founder)</w:t>
            </w:r>
          </w:p>
        </w:tc>
        <w:tc>
          <w:tcPr>
            <w:tcW w:type="dxa" w:w="1440"/>
          </w:tcPr>
          <w:p>
            <w:r>
              <w:rPr>
                <w:rFonts w:ascii="Calibri" w:hAnsi="Calibri"/>
                <w:sz w:val="22"/>
              </w:rPr>
              <w:t>Disposition (Code J — Other)</w:t>
            </w:r>
          </w:p>
        </w:tc>
        <w:tc>
          <w:tcPr>
            <w:tcW w:type="dxa" w:w="1440"/>
          </w:tcPr>
          <w:p>
            <w:r>
              <w:rPr>
                <w:rFonts w:ascii="Calibri" w:hAnsi="Calibri"/>
                <w:sz w:val="22"/>
              </w:rPr>
              <w:t>~324,608 shares (Common Stock)</w:t>
            </w:r>
          </w:p>
        </w:tc>
        <w:tc>
          <w:tcPr>
            <w:tcW w:type="dxa" w:w="1440"/>
          </w:tcPr>
          <w:p>
            <w:r>
              <w:rPr>
                <w:rFonts w:ascii="Calibri" w:hAnsi="Calibri"/>
                <w:sz w:val="22"/>
              </w:rPr>
              <w:t>June 5, 2026</w:t>
            </w:r>
          </w:p>
        </w:tc>
        <w:tc>
          <w:tcPr>
            <w:tcW w:type="dxa" w:w="1440"/>
          </w:tcPr>
          <w:p>
            <w:r>
              <w:rPr>
                <w:rFonts w:ascii="Calibri" w:hAnsi="Calibri"/>
                <w:sz w:val="22"/>
              </w:rPr>
              <w:t>Non-open-market disposition (Code J); likely estate/trust transfer or conversion; not a discretionary market sale</w:t>
            </w:r>
          </w:p>
        </w:tc>
      </w:tr>
      <w:tr>
        <w:tc>
          <w:tcPr>
            <w:tcW w:type="dxa" w:w="1440"/>
          </w:tcPr>
          <w:p>
            <w:r>
              <w:rPr>
                <w:rFonts w:ascii="Calibri" w:hAnsi="Calibri"/>
                <w:sz w:val="22"/>
              </w:rPr>
              <w:t>Henry R. Kravis</w:t>
            </w:r>
          </w:p>
        </w:tc>
        <w:tc>
          <w:tcPr>
            <w:tcW w:type="dxa" w:w="1440"/>
          </w:tcPr>
          <w:p>
            <w:r>
              <w:rPr>
                <w:rFonts w:ascii="Calibri" w:hAnsi="Calibri"/>
                <w:sz w:val="22"/>
              </w:rPr>
              <w:t>10% Owner (Co-Founder)</w:t>
            </w:r>
          </w:p>
        </w:tc>
        <w:tc>
          <w:tcPr>
            <w:tcW w:type="dxa" w:w="1440"/>
          </w:tcPr>
          <w:p>
            <w:r>
              <w:rPr>
                <w:rFonts w:ascii="Calibri" w:hAnsi="Calibri"/>
                <w:sz w:val="22"/>
              </w:rPr>
              <w:t>Open Market Sale (Code S)</w:t>
            </w:r>
          </w:p>
        </w:tc>
        <w:tc>
          <w:tcPr>
            <w:tcW w:type="dxa" w:w="1440"/>
          </w:tcPr>
          <w:p>
            <w:r>
              <w:rPr>
                <w:rFonts w:ascii="Calibri" w:hAnsi="Calibri"/>
                <w:sz w:val="22"/>
              </w:rPr>
              <w:t>~$14.67M (Common Stock)</w:t>
            </w:r>
          </w:p>
        </w:tc>
        <w:tc>
          <w:tcPr>
            <w:tcW w:type="dxa" w:w="1440"/>
          </w:tcPr>
          <w:p>
            <w:r>
              <w:rPr>
                <w:rFonts w:ascii="Calibri" w:hAnsi="Calibri"/>
                <w:sz w:val="22"/>
              </w:rPr>
              <w:t>June 5, 2026</w:t>
            </w:r>
          </w:p>
        </w:tc>
        <w:tc>
          <w:tcPr>
            <w:tcW w:type="dxa" w:w="1440"/>
          </w:tcPr>
          <w:p>
            <w:r>
              <w:rPr>
                <w:rFonts w:ascii="Calibri" w:hAnsi="Calibri"/>
                <w:sz w:val="22"/>
              </w:rPr>
              <w:t>Discretionary open-market sale; large in dollar terms but modest relative to Kravis's total position (~27M shares); no 10b5-1 plan disclosed; occurred during a period of stock weakness (stock ~$93 on June 5)</w:t>
            </w:r>
          </w:p>
        </w:tc>
      </w:tr>
      <w:tr>
        <w:tc>
          <w:tcPr>
            <w:tcW w:type="dxa" w:w="1440"/>
          </w:tcPr>
          <w:p>
            <w:r>
              <w:rPr>
                <w:rFonts w:ascii="Calibri" w:hAnsi="Calibri"/>
                <w:sz w:val="22"/>
              </w:rPr>
              <w:t>Henry R. Kravis</w:t>
            </w:r>
          </w:p>
        </w:tc>
        <w:tc>
          <w:tcPr>
            <w:tcW w:type="dxa" w:w="1440"/>
          </w:tcPr>
          <w:p>
            <w:r>
              <w:rPr>
                <w:rFonts w:ascii="Calibri" w:hAnsi="Calibri"/>
                <w:sz w:val="22"/>
              </w:rPr>
              <w:t>10% Owner (Co-Founder)</w:t>
            </w:r>
          </w:p>
        </w:tc>
        <w:tc>
          <w:tcPr>
            <w:tcW w:type="dxa" w:w="1440"/>
          </w:tcPr>
          <w:p>
            <w:r>
              <w:rPr>
                <w:rFonts w:ascii="Calibri" w:hAnsi="Calibri"/>
                <w:sz w:val="22"/>
              </w:rPr>
              <w:t>Acquisition (Code J)</w:t>
            </w:r>
          </w:p>
        </w:tc>
        <w:tc>
          <w:tcPr>
            <w:tcW w:type="dxa" w:w="1440"/>
          </w:tcPr>
          <w:p>
            <w:r>
              <w:rPr>
                <w:rFonts w:ascii="Calibri" w:hAnsi="Calibri"/>
                <w:sz w:val="22"/>
              </w:rPr>
              <w:t>~65,491 shares (Class I Common)</w:t>
            </w:r>
          </w:p>
        </w:tc>
        <w:tc>
          <w:tcPr>
            <w:tcW w:type="dxa" w:w="1440"/>
          </w:tcPr>
          <w:p>
            <w:r>
              <w:rPr>
                <w:rFonts w:ascii="Calibri" w:hAnsi="Calibri"/>
                <w:sz w:val="22"/>
              </w:rPr>
              <w:t>May 29, 2026</w:t>
            </w:r>
          </w:p>
        </w:tc>
        <w:tc>
          <w:tcPr>
            <w:tcW w:type="dxa" w:w="1440"/>
          </w:tcPr>
          <w:p>
            <w:r>
              <w:rPr>
                <w:rFonts w:ascii="Calibri" w:hAnsi="Calibri"/>
                <w:sz w:val="22"/>
              </w:rPr>
              <w:t>Non-open-market acquisition (Code J); likely compensation or conversion event; not a discretionary open-market buy</w:t>
            </w:r>
          </w:p>
        </w:tc>
      </w:tr>
    </w:tbl>
    <w:p>
      <w:r>
        <w:rPr>
          <w:rFonts w:ascii="Calibri" w:hAnsi="Calibri"/>
          <w:i/>
          <w:color w:val="525866"/>
          <w:sz w:val="22"/>
        </w:rPr>
        <w:t xml:space="preserve">Source: SEC Form 4 filings. </w:t>
      </w:r>
      <w:r>
        <w:rPr>
          <w:rFonts w:ascii="Calibri" w:hAnsi="Calibri"/>
          <w:color w:val="525866"/>
          <w:sz w:val="22"/>
        </w:rPr>
        <w:t>The only open-market sale in the window is Kravis's ~$14.7M sale on June 5, 2026 (Code S). The remaining transactions are non-market acquisitions (Code J, likely compensation/conversion) and a gift (Code G). Notably, co-CEOs Scott Nuttall and Joseph Bae purchased stock personally during Q1 2026 (per the Q1 earnings call), which is a stronger positive signal than the Kravis sale is a negative one. No 10b5-1 plan initiations were disclosed in the window. Overall, insider activity is not a meaningful signal either way heading into Q2 results.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