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KKR &amp; Co. Inc. (KKR)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KKR &amp; Co. Inc.</w:t>
            </w:r>
          </w:p>
        </w:tc>
      </w:tr>
      <w:tr>
        <w:tc>
          <w:tcPr>
            <w:tcW w:type="dxa" w:w="4320"/>
          </w:tcPr>
          <w:p>
            <w:r>
              <w:rPr>
                <w:rFonts w:ascii="Calibri" w:hAnsi="Calibri"/>
                <w:b/>
                <w:sz w:val="22"/>
              </w:rPr>
              <w:t>Ticker</w:t>
            </w:r>
          </w:p>
        </w:tc>
        <w:tc>
          <w:tcPr>
            <w:tcW w:type="dxa" w:w="4320"/>
          </w:tcPr>
          <w:p>
            <w:r>
              <w:rPr>
                <w:rFonts w:ascii="Calibri" w:hAnsi="Calibri"/>
                <w:sz w:val="22"/>
              </w:rPr>
              <w:t>KKR (NYSE)</w:t>
            </w:r>
          </w:p>
        </w:tc>
      </w:tr>
      <w:tr>
        <w:tc>
          <w:tcPr>
            <w:tcW w:type="dxa" w:w="4320"/>
          </w:tcPr>
          <w:p>
            <w:r>
              <w:rPr>
                <w:rFonts w:ascii="Calibri" w:hAnsi="Calibri"/>
                <w:b/>
                <w:sz w:val="22"/>
              </w:rPr>
              <w:t>Upcoming Earnings Date</w:t>
            </w:r>
          </w:p>
        </w:tc>
        <w:tc>
          <w:tcPr>
            <w:tcW w:type="dxa" w:w="4320"/>
          </w:tcPr>
          <w:p>
            <w:r>
              <w:rPr>
                <w:rFonts w:ascii="Calibri" w:hAnsi="Calibri"/>
                <w:sz w:val="22"/>
              </w:rPr>
              <w:t>July 30, 2026 (Pre-Market) — Q2 2026 Earnings Call at 9:00 AM ET</w:t>
            </w:r>
          </w:p>
        </w:tc>
      </w:tr>
      <w:tr>
        <w:tc>
          <w:tcPr>
            <w:tcW w:type="dxa" w:w="4320"/>
          </w:tcPr>
          <w:p>
            <w:r>
              <w:rPr>
                <w:rFonts w:ascii="Calibri" w:hAnsi="Calibri"/>
                <w:b/>
                <w:sz w:val="22"/>
              </w:rPr>
              <w:t>Preparation Date</w:t>
            </w:r>
          </w:p>
        </w:tc>
        <w:tc>
          <w:tcPr>
            <w:tcW w:type="dxa" w:w="4320"/>
          </w:tcPr>
          <w:p>
            <w:r>
              <w:rPr>
                <w:rFonts w:ascii="Calibri" w:hAnsi="Calibri"/>
                <w:sz w:val="22"/>
              </w:rPr>
              <w:t>July 29, 2026</w:t>
            </w:r>
          </w:p>
        </w:tc>
      </w:tr>
      <w:tr>
        <w:tc>
          <w:tcPr>
            <w:tcW w:type="dxa" w:w="4320"/>
          </w:tcPr>
          <w:p>
            <w:r>
              <w:rPr>
                <w:rFonts w:ascii="Calibri" w:hAnsi="Calibri"/>
                <w:b/>
                <w:sz w:val="22"/>
              </w:rPr>
              <w:t>Reporting Period</w:t>
            </w:r>
          </w:p>
        </w:tc>
        <w:tc>
          <w:tcPr>
            <w:tcW w:type="dxa" w:w="4320"/>
          </w:tcPr>
          <w:p>
            <w:r>
              <w:rPr>
                <w:rFonts w:ascii="Calibri" w:hAnsi="Calibri"/>
                <w:sz w:val="22"/>
              </w:rPr>
              <w:t>Q2 2026 (April 1 – June 30, 2026)</w:t>
            </w:r>
          </w:p>
        </w:tc>
      </w:tr>
    </w:tbl>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FRE is a low bar with high confidence; ANI is the swing factor. Consensus AUM of ~$788B implies ~4% sequential growth from Q1’s $758B — achievable given KKR’s near-record fundraising pace ($127B LTM). Realized performance income is the biggest wildcard given the monetization timing uncertainty.</w:t>
      </w:r>
    </w:p>
    <w:p>
      <w:pPr>
        <w:pStyle w:val="Heading3"/>
      </w:pPr>
      <w:r>
        <w:rPr>
          <w:rFonts w:ascii="Calibri" w:hAnsi="Calibri"/>
          <w:b/>
          <w:color w:val="3B4259"/>
          <w:sz w:val="24"/>
        </w:rPr>
        <w:t>Table 1 — Current Quarter Snapshot (Q2 2026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Management Guidance / Target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FRE per Share ($)</w:t>
            </w:r>
          </w:p>
        </w:tc>
        <w:tc>
          <w:tcPr>
            <w:tcW w:type="dxa" w:w="1234"/>
          </w:tcPr>
          <w:p>
            <w:r>
              <w:rPr>
                <w:rFonts w:ascii="Calibri" w:hAnsi="Calibri"/>
                <w:sz w:val="22"/>
              </w:rPr>
              <w:t>$1.13</w:t>
            </w:r>
          </w:p>
        </w:tc>
        <w:tc>
          <w:tcPr>
            <w:tcW w:type="dxa" w:w="1234"/>
          </w:tcPr>
          <w:p>
            <w:r>
              <w:rPr>
                <w:rFonts w:ascii="Calibri" w:hAnsi="Calibri"/>
                <w:sz w:val="22"/>
              </w:rPr>
              <w:t>$0.98</w:t>
            </w:r>
          </w:p>
        </w:tc>
        <w:tc>
          <w:tcPr>
            <w:tcW w:type="dxa" w:w="1234"/>
          </w:tcPr>
          <w:p>
            <w:r>
              <w:rPr>
                <w:rFonts w:ascii="Calibri" w:hAnsi="Calibri"/>
                <w:sz w:val="22"/>
              </w:rPr>
              <w:t>$1.16</w:t>
            </w:r>
          </w:p>
        </w:tc>
        <w:tc>
          <w:tcPr>
            <w:tcW w:type="dxa" w:w="1234"/>
          </w:tcPr>
          <w:p>
            <w:r>
              <w:rPr>
                <w:rFonts w:ascii="Calibri" w:hAnsi="Calibri"/>
                <w:b/>
                <w:color w:val="30A46C"/>
                <w:sz w:val="22"/>
              </w:rPr>
              <w:t>+18.4%</w:t>
            </w:r>
          </w:p>
        </w:tc>
        <w:tc>
          <w:tcPr>
            <w:tcW w:type="dxa" w:w="1234"/>
          </w:tcPr>
          <w:p>
            <w:r>
              <w:rPr>
                <w:rFonts w:ascii="Calibri" w:hAnsi="Calibri"/>
                <w:sz w:val="22"/>
              </w:rPr>
              <w:t>&gt;$4.50 FY2026 (~$1.13/qtr avg)</w:t>
            </w:r>
          </w:p>
        </w:tc>
        <w:tc>
          <w:tcPr>
            <w:tcW w:type="dxa" w:w="1234"/>
          </w:tcPr>
          <w:p>
            <w:r>
              <w:rPr>
                <w:rFonts w:ascii="Calibri" w:hAnsi="Calibri"/>
                <w:sz w:val="22"/>
              </w:rPr>
              <w:t>+2.7% above implied quarterly run-rate</w:t>
            </w:r>
          </w:p>
        </w:tc>
      </w:tr>
      <w:tr>
        <w:tc>
          <w:tcPr>
            <w:tcW w:type="dxa" w:w="1234"/>
          </w:tcPr>
          <w:p>
            <w:r>
              <w:rPr>
                <w:rFonts w:ascii="Calibri" w:hAnsi="Calibri"/>
                <w:sz w:val="22"/>
              </w:rPr>
              <w:t>Adjusted Net Income per Share ($)</w:t>
            </w:r>
          </w:p>
        </w:tc>
        <w:tc>
          <w:tcPr>
            <w:tcW w:type="dxa" w:w="1234"/>
          </w:tcPr>
          <w:p>
            <w:r>
              <w:rPr>
                <w:rFonts w:ascii="Calibri" w:hAnsi="Calibri"/>
                <w:sz w:val="22"/>
              </w:rPr>
              <w:t>$1.39</w:t>
            </w:r>
          </w:p>
        </w:tc>
        <w:tc>
          <w:tcPr>
            <w:tcW w:type="dxa" w:w="1234"/>
          </w:tcPr>
          <w:p>
            <w:r>
              <w:rPr>
                <w:rFonts w:ascii="Calibri" w:hAnsi="Calibri"/>
                <w:sz w:val="22"/>
              </w:rPr>
              <w:t>$1.18</w:t>
            </w:r>
          </w:p>
        </w:tc>
        <w:tc>
          <w:tcPr>
            <w:tcW w:type="dxa" w:w="1234"/>
          </w:tcPr>
          <w:p>
            <w:r>
              <w:rPr>
                <w:rFonts w:ascii="Calibri" w:hAnsi="Calibri"/>
                <w:sz w:val="22"/>
              </w:rPr>
              <w:t>$1.42</w:t>
            </w:r>
          </w:p>
        </w:tc>
        <w:tc>
          <w:tcPr>
            <w:tcW w:type="dxa" w:w="1234"/>
          </w:tcPr>
          <w:p>
            <w:r>
              <w:rPr>
                <w:rFonts w:ascii="Calibri" w:hAnsi="Calibri"/>
                <w:b/>
                <w:color w:val="30A46C"/>
                <w:sz w:val="22"/>
              </w:rPr>
              <w:t>+20.3%</w:t>
            </w:r>
          </w:p>
        </w:tc>
        <w:tc>
          <w:tcPr>
            <w:tcW w:type="dxa" w:w="1234"/>
          </w:tcPr>
          <w:p>
            <w:r>
              <w:rPr>
                <w:rFonts w:ascii="Calibri" w:hAnsi="Calibri"/>
                <w:sz w:val="22"/>
              </w:rPr>
              <w:t>Below $7.00 FY2026 (revised down May 5)</w:t>
            </w:r>
          </w:p>
        </w:tc>
        <w:tc>
          <w:tcPr>
            <w:tcW w:type="dxa" w:w="1234"/>
          </w:tcPr>
          <w:p>
            <w:r>
              <w:rPr>
                <w:rFonts w:ascii="Calibri" w:hAnsi="Calibri"/>
                <w:sz w:val="22"/>
              </w:rPr>
              <w:t>~$5.68 annualized run-rate vs. &lt;$7 target</w:t>
            </w:r>
          </w:p>
        </w:tc>
      </w:tr>
      <w:tr>
        <w:tc>
          <w:tcPr>
            <w:tcW w:type="dxa" w:w="1234"/>
          </w:tcPr>
          <w:p>
            <w:r>
              <w:rPr>
                <w:rFonts w:ascii="Calibri" w:hAnsi="Calibri"/>
                <w:sz w:val="22"/>
              </w:rPr>
              <w:t>Fee-Related Earnings ($M)</w:t>
            </w:r>
          </w:p>
        </w:tc>
        <w:tc>
          <w:tcPr>
            <w:tcW w:type="dxa" w:w="1234"/>
          </w:tcPr>
          <w:p>
            <w:r>
              <w:rPr>
                <w:rFonts w:ascii="Calibri" w:hAnsi="Calibri"/>
                <w:sz w:val="22"/>
              </w:rPr>
              <w:t>$1,016M</w:t>
            </w:r>
          </w:p>
        </w:tc>
        <w:tc>
          <w:tcPr>
            <w:tcW w:type="dxa" w:w="1234"/>
          </w:tcPr>
          <w:p>
            <w:r>
              <w:rPr>
                <w:rFonts w:ascii="Calibri" w:hAnsi="Calibri"/>
                <w:sz w:val="22"/>
              </w:rPr>
              <w:t>$887M</w:t>
            </w:r>
          </w:p>
        </w:tc>
        <w:tc>
          <w:tcPr>
            <w:tcW w:type="dxa" w:w="1234"/>
          </w:tcPr>
          <w:p>
            <w:r>
              <w:rPr>
                <w:rFonts w:ascii="Calibri" w:hAnsi="Calibri"/>
                <w:sz w:val="22"/>
              </w:rPr>
              <w:t>$1,072M</w:t>
            </w:r>
          </w:p>
        </w:tc>
        <w:tc>
          <w:tcPr>
            <w:tcW w:type="dxa" w:w="1234"/>
          </w:tcPr>
          <w:p>
            <w:r>
              <w:rPr>
                <w:rFonts w:ascii="Calibri" w:hAnsi="Calibri"/>
                <w:b/>
                <w:color w:val="30A46C"/>
                <w:sz w:val="22"/>
              </w:rPr>
              <w:t>+20.9%</w:t>
            </w:r>
          </w:p>
        </w:tc>
        <w:tc>
          <w:tcPr>
            <w:tcW w:type="dxa" w:w="1234"/>
          </w:tcPr>
          <w:p>
            <w:r>
              <w:rPr>
                <w:rFonts w:ascii="Calibri" w:hAnsi="Calibri"/>
                <w:sz w:val="22"/>
              </w:rPr>
              <w:t>&gt;$4.50/share FY target implies ~$4.4B FY FRE</w:t>
            </w:r>
          </w:p>
        </w:tc>
        <w:tc>
          <w:tcPr>
            <w:tcW w:type="dxa" w:w="1234"/>
          </w:tcPr>
          <w:p>
            <w:r>
              <w:rPr>
                <w:rFonts w:ascii="Calibri" w:hAnsi="Calibri"/>
                <w:sz w:val="22"/>
              </w:rPr>
              <w:t>On track; Q2 est. implies ~$4.3B annualized</w:t>
            </w:r>
          </w:p>
        </w:tc>
      </w:tr>
      <w:tr>
        <w:tc>
          <w:tcPr>
            <w:tcW w:type="dxa" w:w="1234"/>
          </w:tcPr>
          <w:p>
            <w:r>
              <w:rPr>
                <w:rFonts w:ascii="Calibri" w:hAnsi="Calibri"/>
                <w:sz w:val="22"/>
              </w:rPr>
              <w:t>Management Fees ($M)</w:t>
            </w:r>
          </w:p>
        </w:tc>
        <w:tc>
          <w:tcPr>
            <w:tcW w:type="dxa" w:w="1234"/>
          </w:tcPr>
          <w:p>
            <w:r>
              <w:rPr>
                <w:rFonts w:ascii="Calibri" w:hAnsi="Calibri"/>
                <w:sz w:val="22"/>
              </w:rPr>
              <w:t>$1,193M</w:t>
            </w:r>
          </w:p>
        </w:tc>
        <w:tc>
          <w:tcPr>
            <w:tcW w:type="dxa" w:w="1234"/>
          </w:tcPr>
          <w:p>
            <w:r>
              <w:rPr>
                <w:rFonts w:ascii="Calibri" w:hAnsi="Calibri"/>
                <w:sz w:val="22"/>
              </w:rPr>
              <w:t>$996M</w:t>
            </w:r>
          </w:p>
        </w:tc>
        <w:tc>
          <w:tcPr>
            <w:tcW w:type="dxa" w:w="1234"/>
          </w:tcPr>
          <w:p>
            <w:r>
              <w:rPr>
                <w:rFonts w:ascii="Calibri" w:hAnsi="Calibri"/>
                <w:sz w:val="22"/>
              </w:rPr>
              <w:t>$1,184M</w:t>
            </w:r>
          </w:p>
        </w:tc>
        <w:tc>
          <w:tcPr>
            <w:tcW w:type="dxa" w:w="1234"/>
          </w:tcPr>
          <w:p>
            <w:r>
              <w:rPr>
                <w:rFonts w:ascii="Calibri" w:hAnsi="Calibri"/>
                <w:b/>
                <w:color w:val="30A46C"/>
                <w:sz w:val="22"/>
              </w:rPr>
              <w:t>+18.9%</w:t>
            </w:r>
          </w:p>
        </w:tc>
        <w:tc>
          <w:tcPr>
            <w:tcW w:type="dxa" w:w="1234"/>
          </w:tcPr>
          <w:p>
            <w:r>
              <w:rPr>
                <w:rFonts w:ascii="Calibri" w:hAnsi="Calibri"/>
                <w:sz w:val="22"/>
              </w:rPr>
              <w:t>Low-20s% organic growth guided</w:t>
            </w:r>
          </w:p>
        </w:tc>
        <w:tc>
          <w:tcPr>
            <w:tcW w:type="dxa" w:w="1234"/>
          </w:tcPr>
          <w:p>
            <w:r>
              <w:rPr>
                <w:rFonts w:ascii="Calibri" w:hAnsi="Calibri"/>
                <w:sz w:val="22"/>
              </w:rPr>
              <w:t>~19% YoY; slightly below 23% LTM pace</w:t>
            </w:r>
          </w:p>
        </w:tc>
      </w:tr>
      <w:tr>
        <w:tc>
          <w:tcPr>
            <w:tcW w:type="dxa" w:w="1234"/>
          </w:tcPr>
          <w:p>
            <w:r>
              <w:rPr>
                <w:rFonts w:ascii="Calibri" w:hAnsi="Calibri"/>
                <w:sz w:val="22"/>
              </w:rPr>
              <w:t>Realized Performance Income ($M)</w:t>
            </w:r>
          </w:p>
        </w:tc>
        <w:tc>
          <w:tcPr>
            <w:tcW w:type="dxa" w:w="1234"/>
          </w:tcPr>
          <w:p>
            <w:r>
              <w:rPr>
                <w:rFonts w:ascii="Calibri" w:hAnsi="Calibri"/>
                <w:sz w:val="22"/>
              </w:rPr>
              <w:t>$756M</w:t>
            </w:r>
          </w:p>
        </w:tc>
        <w:tc>
          <w:tcPr>
            <w:tcW w:type="dxa" w:w="1234"/>
          </w:tcPr>
          <w:p>
            <w:r>
              <w:rPr>
                <w:rFonts w:ascii="Calibri" w:hAnsi="Calibri"/>
                <w:sz w:val="22"/>
              </w:rPr>
              <w:t>$419M</w:t>
            </w:r>
          </w:p>
        </w:tc>
        <w:tc>
          <w:tcPr>
            <w:tcW w:type="dxa" w:w="1234"/>
          </w:tcPr>
          <w:p>
            <w:r>
              <w:rPr>
                <w:rFonts w:ascii="Calibri" w:hAnsi="Calibri"/>
                <w:sz w:val="22"/>
              </w:rPr>
              <w:t>$782M</w:t>
            </w:r>
          </w:p>
        </w:tc>
        <w:tc>
          <w:tcPr>
            <w:tcW w:type="dxa" w:w="1234"/>
          </w:tcPr>
          <w:p>
            <w:r>
              <w:rPr>
                <w:rFonts w:ascii="Calibri" w:hAnsi="Calibri"/>
                <w:b/>
                <w:color w:val="30A46C"/>
                <w:sz w:val="22"/>
              </w:rPr>
              <w:t>+86.6%</w:t>
            </w:r>
          </w:p>
        </w:tc>
        <w:tc>
          <w:tcPr>
            <w:tcW w:type="dxa" w:w="1234"/>
          </w:tcPr>
          <w:p>
            <w:r>
              <w:rPr>
                <w:rFonts w:ascii="Calibri" w:hAnsi="Calibri"/>
                <w:sz w:val="22"/>
              </w:rPr>
              <w:t>Record forward pipeline &gt;$1.2B gross disclosed</w:t>
            </w:r>
          </w:p>
        </w:tc>
        <w:tc>
          <w:tcPr>
            <w:tcW w:type="dxa" w:w="1234"/>
          </w:tcPr>
          <w:p>
            <w:r>
              <w:rPr>
                <w:rFonts w:ascii="Calibri" w:hAnsi="Calibri"/>
                <w:sz w:val="22"/>
              </w:rPr>
              <w:t>N/A — no specific quarterly guidance</w:t>
            </w:r>
          </w:p>
        </w:tc>
      </w:tr>
      <w:tr>
        <w:tc>
          <w:tcPr>
            <w:tcW w:type="dxa" w:w="1234"/>
          </w:tcPr>
          <w:p>
            <w:r>
              <w:rPr>
                <w:rFonts w:ascii="Calibri" w:hAnsi="Calibri"/>
                <w:sz w:val="22"/>
              </w:rPr>
              <w:t>Total AUM ($B)</w:t>
            </w:r>
          </w:p>
        </w:tc>
        <w:tc>
          <w:tcPr>
            <w:tcW w:type="dxa" w:w="1234"/>
          </w:tcPr>
          <w:p>
            <w:r>
              <w:rPr>
                <w:rFonts w:ascii="Calibri" w:hAnsi="Calibri"/>
                <w:sz w:val="22"/>
              </w:rPr>
              <w:t>$758B</w:t>
            </w:r>
          </w:p>
        </w:tc>
        <w:tc>
          <w:tcPr>
            <w:tcW w:type="dxa" w:w="1234"/>
          </w:tcPr>
          <w:p>
            <w:r>
              <w:rPr>
                <w:rFonts w:ascii="Calibri" w:hAnsi="Calibri"/>
                <w:sz w:val="22"/>
              </w:rPr>
              <w:t>$686B</w:t>
            </w:r>
          </w:p>
        </w:tc>
        <w:tc>
          <w:tcPr>
            <w:tcW w:type="dxa" w:w="1234"/>
          </w:tcPr>
          <w:p>
            <w:r>
              <w:rPr>
                <w:rFonts w:ascii="Calibri" w:hAnsi="Calibri"/>
                <w:sz w:val="22"/>
              </w:rPr>
              <w:t>$788B</w:t>
            </w:r>
          </w:p>
        </w:tc>
        <w:tc>
          <w:tcPr>
            <w:tcW w:type="dxa" w:w="1234"/>
          </w:tcPr>
          <w:p>
            <w:r>
              <w:rPr>
                <w:rFonts w:ascii="Calibri" w:hAnsi="Calibri"/>
                <w:b/>
                <w:color w:val="30A46C"/>
                <w:sz w:val="22"/>
              </w:rPr>
              <w:t>+14.9%</w:t>
            </w:r>
          </w:p>
        </w:tc>
        <w:tc>
          <w:tcPr>
            <w:tcW w:type="dxa" w:w="1234"/>
          </w:tcPr>
          <w:p>
            <w:r>
              <w:rPr>
                <w:rFonts w:ascii="Calibri" w:hAnsi="Calibri"/>
                <w:sz w:val="22"/>
              </w:rPr>
              <w:t>No specific quarterly AUM target</w:t>
            </w:r>
          </w:p>
        </w:tc>
        <w:tc>
          <w:tcPr>
            <w:tcW w:type="dxa" w:w="1234"/>
          </w:tcPr>
          <w:p>
            <w:r>
              <w:rPr>
                <w:rFonts w:ascii="Calibri" w:hAnsi="Calibri"/>
                <w:sz w:val="22"/>
              </w:rPr>
              <w:t>N/A</w:t>
            </w:r>
          </w:p>
        </w:tc>
      </w:tr>
      <w:tr>
        <w:tc>
          <w:tcPr>
            <w:tcW w:type="dxa" w:w="1234"/>
          </w:tcPr>
          <w:p>
            <w:r>
              <w:rPr>
                <w:rFonts w:ascii="Calibri" w:hAnsi="Calibri"/>
                <w:sz w:val="22"/>
              </w:rPr>
              <w:t>Capital Invested — Total ($M)</w:t>
            </w:r>
          </w:p>
        </w:tc>
        <w:tc>
          <w:tcPr>
            <w:tcW w:type="dxa" w:w="1234"/>
          </w:tcPr>
          <w:p>
            <w:r>
              <w:rPr>
                <w:rFonts w:ascii="Calibri" w:hAnsi="Calibri"/>
                <w:sz w:val="22"/>
              </w:rPr>
              <w:t>$21,772M</w:t>
            </w:r>
          </w:p>
        </w:tc>
        <w:tc>
          <w:tcPr>
            <w:tcW w:type="dxa" w:w="1234"/>
          </w:tcPr>
          <w:p>
            <w:r>
              <w:rPr>
                <w:rFonts w:ascii="Calibri" w:hAnsi="Calibri"/>
                <w:sz w:val="22"/>
              </w:rPr>
              <w:t>$17,701M</w:t>
            </w:r>
          </w:p>
        </w:tc>
        <w:tc>
          <w:tcPr>
            <w:tcW w:type="dxa" w:w="1234"/>
          </w:tcPr>
          <w:p>
            <w:r>
              <w:rPr>
                <w:rFonts w:ascii="Calibri" w:hAnsi="Calibri"/>
                <w:sz w:val="22"/>
              </w:rPr>
              <w:t>$25,178M</w:t>
            </w:r>
          </w:p>
        </w:tc>
        <w:tc>
          <w:tcPr>
            <w:tcW w:type="dxa" w:w="1234"/>
          </w:tcPr>
          <w:p>
            <w:r>
              <w:rPr>
                <w:rFonts w:ascii="Calibri" w:hAnsi="Calibri"/>
                <w:b/>
                <w:color w:val="30A46C"/>
                <w:sz w:val="22"/>
              </w:rPr>
              <w:t>+42.2%</w:t>
            </w:r>
          </w:p>
        </w:tc>
        <w:tc>
          <w:tcPr>
            <w:tcW w:type="dxa" w:w="1234"/>
          </w:tcPr>
          <w:p>
            <w:r>
              <w:rPr>
                <w:rFonts w:ascii="Calibri" w:hAnsi="Calibri"/>
                <w:sz w:val="22"/>
              </w:rPr>
              <w:t>Record deployment pace; $125B dry powder</w:t>
            </w:r>
          </w:p>
        </w:tc>
        <w:tc>
          <w:tcPr>
            <w:tcW w:type="dxa" w:w="1234"/>
          </w:tcPr>
          <w:p>
            <w:r>
              <w:rPr>
                <w:rFonts w:ascii="Calibri" w:hAnsi="Calibri"/>
                <w:sz w:val="22"/>
              </w:rPr>
              <w:t>N/A</w:t>
            </w:r>
          </w:p>
        </w:tc>
      </w:tr>
    </w:tbl>
    <w:p>
      <w:r>
        <w:rPr>
          <w:rFonts w:ascii="Calibri" w:hAnsi="Calibri"/>
          <w:color w:val="525866"/>
          <w:sz w:val="22"/>
        </w:rPr>
        <w:t>Source: Visible Alpha Consensus and Actuals Data. All per-share figures use adjusted/diluted share count. FRE per share and ANI per share are the primary market-moving KPIs.</w:t>
      </w:r>
    </w:p>
    <w:p>
      <w:pPr>
        <w:pStyle w:val="Heading3"/>
      </w:pPr>
      <w:r>
        <w:rPr>
          <w:rFonts w:ascii="Calibri" w:hAnsi="Calibri"/>
          <w:b/>
          <w:color w:val="3B4259"/>
          <w:sz w:val="24"/>
        </w:rPr>
        <w:t>Table 2 — Beat/Miss History (Last 8 Quarters — Top 2 KPIs: FRE/Share &amp; ANI/Share)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FRE/Share</w:t>
            </w:r>
          </w:p>
        </w:tc>
        <w:tc>
          <w:tcPr>
            <w:tcW w:type="dxa" w:w="1440"/>
          </w:tcPr>
          <w:p>
            <w:r>
              <w:rPr>
                <w:rFonts w:ascii="Calibri" w:hAnsi="Calibri"/>
                <w:sz w:val="22"/>
              </w:rPr>
              <w:t>$1.13</w:t>
            </w:r>
          </w:p>
        </w:tc>
        <w:tc>
          <w:tcPr>
            <w:tcW w:type="dxa" w:w="1440"/>
          </w:tcPr>
          <w:p>
            <w:r>
              <w:rPr>
                <w:rFonts w:ascii="Calibri" w:hAnsi="Calibri"/>
                <w:sz w:val="22"/>
              </w:rPr>
              <w:t>$1.09</w:t>
            </w:r>
          </w:p>
        </w:tc>
        <w:tc>
          <w:tcPr>
            <w:tcW w:type="dxa" w:w="1440"/>
          </w:tcPr>
          <w:p>
            <w:r>
              <w:rPr>
                <w:rFonts w:ascii="Calibri" w:hAnsi="Calibri"/>
                <w:b/>
                <w:color w:val="30A46C"/>
                <w:sz w:val="22"/>
              </w:rPr>
              <w:t>+3.7%</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ANI/Share</w:t>
            </w:r>
          </w:p>
        </w:tc>
        <w:tc>
          <w:tcPr>
            <w:tcW w:type="dxa" w:w="1440"/>
          </w:tcPr>
          <w:p>
            <w:r>
              <w:rPr>
                <w:rFonts w:ascii="Calibri" w:hAnsi="Calibri"/>
                <w:sz w:val="22"/>
              </w:rPr>
              <w:t>$1.39</w:t>
            </w:r>
          </w:p>
        </w:tc>
        <w:tc>
          <w:tcPr>
            <w:tcW w:type="dxa" w:w="1440"/>
          </w:tcPr>
          <w:p>
            <w:r>
              <w:rPr>
                <w:rFonts w:ascii="Calibri" w:hAnsi="Calibri"/>
                <w:sz w:val="22"/>
              </w:rPr>
              <w:t>$1.26</w:t>
            </w:r>
          </w:p>
        </w:tc>
        <w:tc>
          <w:tcPr>
            <w:tcW w:type="dxa" w:w="1440"/>
          </w:tcPr>
          <w:p>
            <w:r>
              <w:rPr>
                <w:rFonts w:ascii="Calibri" w:hAnsi="Calibri"/>
                <w:b/>
                <w:color w:val="30A46C"/>
                <w:sz w:val="22"/>
              </w:rPr>
              <w:t>+10.3%</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FRE/Share</w:t>
            </w:r>
          </w:p>
        </w:tc>
        <w:tc>
          <w:tcPr>
            <w:tcW w:type="dxa" w:w="1440"/>
          </w:tcPr>
          <w:p>
            <w:r>
              <w:rPr>
                <w:rFonts w:ascii="Calibri" w:hAnsi="Calibri"/>
                <w:sz w:val="22"/>
              </w:rPr>
              <w:t>$1.08</w:t>
            </w:r>
          </w:p>
        </w:tc>
        <w:tc>
          <w:tcPr>
            <w:tcW w:type="dxa" w:w="1440"/>
          </w:tcPr>
          <w:p>
            <w:r>
              <w:rPr>
                <w:rFonts w:ascii="Calibri" w:hAnsi="Calibri"/>
                <w:sz w:val="22"/>
              </w:rPr>
              <w:t>$1.09</w:t>
            </w:r>
          </w:p>
        </w:tc>
        <w:tc>
          <w:tcPr>
            <w:tcW w:type="dxa" w:w="1440"/>
          </w:tcPr>
          <w:p>
            <w:r>
              <w:rPr>
                <w:rFonts w:ascii="Calibri" w:hAnsi="Calibri"/>
                <w:b/>
                <w:color w:val="E5484D"/>
                <w:sz w:val="22"/>
              </w:rPr>
              <w:t>-0.9%</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ANI/Share</w:t>
            </w:r>
          </w:p>
        </w:tc>
        <w:tc>
          <w:tcPr>
            <w:tcW w:type="dxa" w:w="1440"/>
          </w:tcPr>
          <w:p>
            <w:r>
              <w:rPr>
                <w:rFonts w:ascii="Calibri" w:hAnsi="Calibri"/>
                <w:sz w:val="22"/>
              </w:rPr>
              <w:t>$1.12</w:t>
            </w:r>
          </w:p>
        </w:tc>
        <w:tc>
          <w:tcPr>
            <w:tcW w:type="dxa" w:w="1440"/>
          </w:tcPr>
          <w:p>
            <w:r>
              <w:rPr>
                <w:rFonts w:ascii="Calibri" w:hAnsi="Calibri"/>
                <w:sz w:val="22"/>
              </w:rPr>
              <w:t>$1.16</w:t>
            </w:r>
          </w:p>
        </w:tc>
        <w:tc>
          <w:tcPr>
            <w:tcW w:type="dxa" w:w="1440"/>
          </w:tcPr>
          <w:p>
            <w:r>
              <w:rPr>
                <w:rFonts w:ascii="Calibri" w:hAnsi="Calibri"/>
                <w:b/>
                <w:color w:val="E5484D"/>
                <w:sz w:val="22"/>
              </w:rPr>
              <w:t>-3.4%</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FRE/Share</w:t>
            </w:r>
          </w:p>
        </w:tc>
        <w:tc>
          <w:tcPr>
            <w:tcW w:type="dxa" w:w="1440"/>
          </w:tcPr>
          <w:p>
            <w:r>
              <w:rPr>
                <w:rFonts w:ascii="Calibri" w:hAnsi="Calibri"/>
                <w:sz w:val="22"/>
              </w:rPr>
              <w:t>$1.15</w:t>
            </w:r>
          </w:p>
        </w:tc>
        <w:tc>
          <w:tcPr>
            <w:tcW w:type="dxa" w:w="1440"/>
          </w:tcPr>
          <w:p>
            <w:r>
              <w:rPr>
                <w:rFonts w:ascii="Calibri" w:hAnsi="Calibri"/>
                <w:sz w:val="22"/>
              </w:rPr>
              <w:t>$1.07</w:t>
            </w:r>
          </w:p>
        </w:tc>
        <w:tc>
          <w:tcPr>
            <w:tcW w:type="dxa" w:w="1440"/>
          </w:tcPr>
          <w:p>
            <w:r>
              <w:rPr>
                <w:rFonts w:ascii="Calibri" w:hAnsi="Calibri"/>
                <w:b/>
                <w:color w:val="30A46C"/>
                <w:sz w:val="22"/>
              </w:rPr>
              <w:t>+7.5%</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ANI/Share</w:t>
            </w:r>
          </w:p>
        </w:tc>
        <w:tc>
          <w:tcPr>
            <w:tcW w:type="dxa" w:w="1440"/>
          </w:tcPr>
          <w:p>
            <w:r>
              <w:rPr>
                <w:rFonts w:ascii="Calibri" w:hAnsi="Calibri"/>
                <w:sz w:val="22"/>
              </w:rPr>
              <w:t>$1.41</w:t>
            </w:r>
          </w:p>
        </w:tc>
        <w:tc>
          <w:tcPr>
            <w:tcW w:type="dxa" w:w="1440"/>
          </w:tcPr>
          <w:p>
            <w:r>
              <w:rPr>
                <w:rFonts w:ascii="Calibri" w:hAnsi="Calibri"/>
                <w:sz w:val="22"/>
              </w:rPr>
              <w:t>$1.30</w:t>
            </w:r>
          </w:p>
        </w:tc>
        <w:tc>
          <w:tcPr>
            <w:tcW w:type="dxa" w:w="1440"/>
          </w:tcPr>
          <w:p>
            <w:r>
              <w:rPr>
                <w:rFonts w:ascii="Calibri" w:hAnsi="Calibri"/>
                <w:b/>
                <w:color w:val="30A46C"/>
                <w:sz w:val="22"/>
              </w:rPr>
              <w:t>+8.5%</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FRE/Share</w:t>
            </w:r>
          </w:p>
        </w:tc>
        <w:tc>
          <w:tcPr>
            <w:tcW w:type="dxa" w:w="1440"/>
          </w:tcPr>
          <w:p>
            <w:r>
              <w:rPr>
                <w:rFonts w:ascii="Calibri" w:hAnsi="Calibri"/>
                <w:sz w:val="22"/>
              </w:rPr>
              <w:t>$0.98</w:t>
            </w:r>
          </w:p>
        </w:tc>
        <w:tc>
          <w:tcPr>
            <w:tcW w:type="dxa" w:w="1440"/>
          </w:tcPr>
          <w:p>
            <w:r>
              <w:rPr>
                <w:rFonts w:ascii="Calibri" w:hAnsi="Calibri"/>
                <w:sz w:val="22"/>
              </w:rPr>
              <w:t>$0.97</w:t>
            </w:r>
          </w:p>
        </w:tc>
        <w:tc>
          <w:tcPr>
            <w:tcW w:type="dxa" w:w="1440"/>
          </w:tcPr>
          <w:p>
            <w:r>
              <w:rPr>
                <w:rFonts w:ascii="Calibri" w:hAnsi="Calibri"/>
                <w:b/>
                <w:color w:val="30A46C"/>
                <w:sz w:val="22"/>
              </w:rPr>
              <w:t>+1.0%</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ANI/Share</w:t>
            </w:r>
          </w:p>
        </w:tc>
        <w:tc>
          <w:tcPr>
            <w:tcW w:type="dxa" w:w="1440"/>
          </w:tcPr>
          <w:p>
            <w:r>
              <w:rPr>
                <w:rFonts w:ascii="Calibri" w:hAnsi="Calibri"/>
                <w:sz w:val="22"/>
              </w:rPr>
              <w:t>$1.18</w:t>
            </w:r>
          </w:p>
        </w:tc>
        <w:tc>
          <w:tcPr>
            <w:tcW w:type="dxa" w:w="1440"/>
          </w:tcPr>
          <w:p>
            <w:r>
              <w:rPr>
                <w:rFonts w:ascii="Calibri" w:hAnsi="Calibri"/>
                <w:sz w:val="22"/>
              </w:rPr>
              <w:t>$1.13</w:t>
            </w:r>
          </w:p>
        </w:tc>
        <w:tc>
          <w:tcPr>
            <w:tcW w:type="dxa" w:w="1440"/>
          </w:tcPr>
          <w:p>
            <w:r>
              <w:rPr>
                <w:rFonts w:ascii="Calibri" w:hAnsi="Calibri"/>
                <w:b/>
                <w:color w:val="30A46C"/>
                <w:sz w:val="22"/>
              </w:rPr>
              <w:t>+4.4%</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FRE/Share</w:t>
            </w:r>
          </w:p>
        </w:tc>
        <w:tc>
          <w:tcPr>
            <w:tcW w:type="dxa" w:w="1440"/>
          </w:tcPr>
          <w:p>
            <w:r>
              <w:rPr>
                <w:rFonts w:ascii="Calibri" w:hAnsi="Calibri"/>
                <w:sz w:val="22"/>
              </w:rPr>
              <w:t>$0.92</w:t>
            </w:r>
          </w:p>
        </w:tc>
        <w:tc>
          <w:tcPr>
            <w:tcW w:type="dxa" w:w="1440"/>
          </w:tcPr>
          <w:p>
            <w:r>
              <w:rPr>
                <w:rFonts w:ascii="Calibri" w:hAnsi="Calibri"/>
                <w:sz w:val="22"/>
              </w:rPr>
              <w:t>$0.92</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Q1 2025</w:t>
            </w:r>
          </w:p>
        </w:tc>
        <w:tc>
          <w:tcPr>
            <w:tcW w:type="dxa" w:w="1440"/>
          </w:tcPr>
          <w:p>
            <w:r>
              <w:rPr>
                <w:rFonts w:ascii="Calibri" w:hAnsi="Calibri"/>
                <w:sz w:val="22"/>
              </w:rPr>
              <w:t>ANI/Share</w:t>
            </w:r>
          </w:p>
        </w:tc>
        <w:tc>
          <w:tcPr>
            <w:tcW w:type="dxa" w:w="1440"/>
          </w:tcPr>
          <w:p>
            <w:r>
              <w:rPr>
                <w:rFonts w:ascii="Calibri" w:hAnsi="Calibri"/>
                <w:sz w:val="22"/>
              </w:rPr>
              <w:t>$1.15</w:t>
            </w:r>
          </w:p>
        </w:tc>
        <w:tc>
          <w:tcPr>
            <w:tcW w:type="dxa" w:w="1440"/>
          </w:tcPr>
          <w:p>
            <w:r>
              <w:rPr>
                <w:rFonts w:ascii="Calibri" w:hAnsi="Calibri"/>
                <w:sz w:val="22"/>
              </w:rPr>
              <w:t>$1.14</w:t>
            </w:r>
          </w:p>
        </w:tc>
        <w:tc>
          <w:tcPr>
            <w:tcW w:type="dxa" w:w="1440"/>
          </w:tcPr>
          <w:p>
            <w:r>
              <w:rPr>
                <w:rFonts w:ascii="Calibri" w:hAnsi="Calibri"/>
                <w:b/>
                <w:color w:val="30A46C"/>
                <w:sz w:val="22"/>
              </w:rPr>
              <w:t>+0.9%</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FRE/Share</w:t>
            </w:r>
          </w:p>
        </w:tc>
        <w:tc>
          <w:tcPr>
            <w:tcW w:type="dxa" w:w="1440"/>
          </w:tcPr>
          <w:p>
            <w:r>
              <w:rPr>
                <w:rFonts w:ascii="Calibri" w:hAnsi="Calibri"/>
                <w:sz w:val="22"/>
              </w:rPr>
              <w:t>$0.94</w:t>
            </w:r>
          </w:p>
        </w:tc>
        <w:tc>
          <w:tcPr>
            <w:tcW w:type="dxa" w:w="1440"/>
          </w:tcPr>
          <w:p>
            <w:r>
              <w:rPr>
                <w:rFonts w:ascii="Calibri" w:hAnsi="Calibri"/>
                <w:sz w:val="22"/>
              </w:rPr>
              <w:t>$0.94</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Q4 2024</w:t>
            </w:r>
          </w:p>
        </w:tc>
        <w:tc>
          <w:tcPr>
            <w:tcW w:type="dxa" w:w="1440"/>
          </w:tcPr>
          <w:p>
            <w:r>
              <w:rPr>
                <w:rFonts w:ascii="Calibri" w:hAnsi="Calibri"/>
                <w:sz w:val="22"/>
              </w:rPr>
              <w:t>ANI/Share</w:t>
            </w:r>
          </w:p>
        </w:tc>
        <w:tc>
          <w:tcPr>
            <w:tcW w:type="dxa" w:w="1440"/>
          </w:tcPr>
          <w:p>
            <w:r>
              <w:rPr>
                <w:rFonts w:ascii="Calibri" w:hAnsi="Calibri"/>
                <w:sz w:val="22"/>
              </w:rPr>
              <w:t>$1.32</w:t>
            </w:r>
          </w:p>
        </w:tc>
        <w:tc>
          <w:tcPr>
            <w:tcW w:type="dxa" w:w="1440"/>
          </w:tcPr>
          <w:p>
            <w:r>
              <w:rPr>
                <w:rFonts w:ascii="Calibri" w:hAnsi="Calibri"/>
                <w:sz w:val="22"/>
              </w:rPr>
              <w:t>$1.28</w:t>
            </w:r>
          </w:p>
        </w:tc>
        <w:tc>
          <w:tcPr>
            <w:tcW w:type="dxa" w:w="1440"/>
          </w:tcPr>
          <w:p>
            <w:r>
              <w:rPr>
                <w:rFonts w:ascii="Calibri" w:hAnsi="Calibri"/>
                <w:b/>
                <w:color w:val="30A46C"/>
                <w:sz w:val="22"/>
              </w:rPr>
              <w:t>+3.1%</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FRE/Share</w:t>
            </w:r>
          </w:p>
        </w:tc>
        <w:tc>
          <w:tcPr>
            <w:tcW w:type="dxa" w:w="1440"/>
          </w:tcPr>
          <w:p>
            <w:r>
              <w:rPr>
                <w:rFonts w:ascii="Calibri" w:hAnsi="Calibri"/>
                <w:sz w:val="22"/>
              </w:rPr>
              <w:t>$1.12</w:t>
            </w:r>
          </w:p>
        </w:tc>
        <w:tc>
          <w:tcPr>
            <w:tcW w:type="dxa" w:w="1440"/>
          </w:tcPr>
          <w:p>
            <w:r>
              <w:rPr>
                <w:rFonts w:ascii="Calibri" w:hAnsi="Calibri"/>
                <w:sz w:val="22"/>
              </w:rPr>
              <w:t>$0.95</w:t>
            </w:r>
          </w:p>
        </w:tc>
        <w:tc>
          <w:tcPr>
            <w:tcW w:type="dxa" w:w="1440"/>
          </w:tcPr>
          <w:p>
            <w:r>
              <w:rPr>
                <w:rFonts w:ascii="Calibri" w:hAnsi="Calibri"/>
                <w:b/>
                <w:color w:val="30A46C"/>
                <w:sz w:val="22"/>
              </w:rPr>
              <w:t>+17.9%</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ANI/Share</w:t>
            </w:r>
          </w:p>
        </w:tc>
        <w:tc>
          <w:tcPr>
            <w:tcW w:type="dxa" w:w="1440"/>
          </w:tcPr>
          <w:p>
            <w:r>
              <w:rPr>
                <w:rFonts w:ascii="Calibri" w:hAnsi="Calibri"/>
                <w:sz w:val="22"/>
              </w:rPr>
              <w:t>$1.32</w:t>
            </w:r>
          </w:p>
        </w:tc>
        <w:tc>
          <w:tcPr>
            <w:tcW w:type="dxa" w:w="1440"/>
          </w:tcPr>
          <w:p>
            <w:r>
              <w:rPr>
                <w:rFonts w:ascii="Calibri" w:hAnsi="Calibri"/>
                <w:sz w:val="22"/>
              </w:rPr>
              <w:t>$1.20</w:t>
            </w:r>
          </w:p>
        </w:tc>
        <w:tc>
          <w:tcPr>
            <w:tcW w:type="dxa" w:w="1440"/>
          </w:tcPr>
          <w:p>
            <w:r>
              <w:rPr>
                <w:rFonts w:ascii="Calibri" w:hAnsi="Calibri"/>
                <w:b/>
                <w:color w:val="30A46C"/>
                <w:sz w:val="22"/>
              </w:rPr>
              <w:t>+10.0%</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KKR has beaten FRE consensus in 6 of the last 8 quarters and ANI consensus in 7 of the last 8 quarters, with the only misses occurring in Q4 2025 when monetization activity was seasonally light. The beat cadence on FRE is particularly consistent, reflecting the durability of the recurring fee engine.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FRE guidance is unchanged and management is highly confident; ANI guidance was explicitly revised down on May 5 (below $7/share for FY2026) due to monetization timing, but management simultaneously disclosed the largest forward monetization pipeline in firm history, framing delays as timing, not magnitude.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FRE per Share</w:t>
            </w:r>
          </w:p>
        </w:tc>
        <w:tc>
          <w:tcPr>
            <w:tcW w:type="dxa" w:w="1728"/>
          </w:tcPr>
          <w:p>
            <w:r>
              <w:rPr>
                <w:rFonts w:ascii="Calibri" w:hAnsi="Calibri"/>
                <w:sz w:val="22"/>
              </w:rPr>
              <w:t>&gt;$4.50/share; management expressed “unreserved yes” confidence</w:t>
            </w:r>
          </w:p>
        </w:tc>
        <w:tc>
          <w:tcPr>
            <w:tcW w:type="dxa" w:w="1728"/>
          </w:tcPr>
          <w:p>
            <w:r>
              <w:rPr>
                <w:rFonts w:ascii="Calibri" w:hAnsi="Calibri"/>
                <w:sz w:val="22"/>
              </w:rPr>
              <w:t>—</w:t>
            </w:r>
          </w:p>
        </w:tc>
        <w:tc>
          <w:tcPr>
            <w:tcW w:type="dxa" w:w="1728"/>
          </w:tcPr>
          <w:p>
            <w:r>
              <w:rPr>
                <w:rFonts w:ascii="Calibri" w:hAnsi="Calibri"/>
                <w:sz w:val="22"/>
              </w:rPr>
              <w:t>$4.83/share</w:t>
            </w:r>
          </w:p>
        </w:tc>
        <w:tc>
          <w:tcPr>
            <w:tcW w:type="dxa" w:w="1728"/>
          </w:tcPr>
          <w:p>
            <w:r>
              <w:rPr>
                <w:rFonts w:ascii="Calibri" w:hAnsi="Calibri"/>
                <w:sz w:val="22"/>
              </w:rPr>
              <w:t>Unchanged; reaffirmed at Bernstein Conference (May 27) with 20%+ FRE growth guidance for 2026</w:t>
            </w:r>
          </w:p>
        </w:tc>
      </w:tr>
      <w:tr>
        <w:tc>
          <w:tcPr>
            <w:tcW w:type="dxa" w:w="1728"/>
          </w:tcPr>
          <w:p>
            <w:r>
              <w:rPr>
                <w:rFonts w:ascii="Calibri" w:hAnsi="Calibri"/>
                <w:sz w:val="22"/>
              </w:rPr>
              <w:t>FY2026 ANI per Share</w:t>
            </w:r>
          </w:p>
        </w:tc>
        <w:tc>
          <w:tcPr>
            <w:tcW w:type="dxa" w:w="1728"/>
          </w:tcPr>
          <w:p>
            <w:r>
              <w:rPr>
                <w:rFonts w:ascii="Calibri" w:hAnsi="Calibri"/>
                <w:sz w:val="22"/>
              </w:rPr>
              <w:t>Entered year targeting &gt;$7.00/share; revised on May 5 to “more likely to land below $7” due to market volatility and monetization delays</w:t>
            </w:r>
          </w:p>
        </w:tc>
        <w:tc>
          <w:tcPr>
            <w:tcW w:type="dxa" w:w="1728"/>
          </w:tcPr>
          <w:p>
            <w:r>
              <w:rPr>
                <w:rFonts w:ascii="Calibri" w:hAnsi="Calibri"/>
                <w:sz w:val="22"/>
              </w:rPr>
              <w:t>↓ Lowered May 5, 2026 (Q1 earnings call); any delayed monetizations expected to shift to 2027+</w:t>
            </w:r>
          </w:p>
        </w:tc>
        <w:tc>
          <w:tcPr>
            <w:tcW w:type="dxa" w:w="1728"/>
          </w:tcPr>
          <w:p>
            <w:r>
              <w:rPr>
                <w:rFonts w:ascii="Calibri" w:hAnsi="Calibri"/>
                <w:sz w:val="22"/>
              </w:rPr>
              <w:t>$6.09/share</w:t>
            </w:r>
          </w:p>
        </w:tc>
        <w:tc>
          <w:tcPr>
            <w:tcW w:type="dxa" w:w="1728"/>
          </w:tcPr>
          <w:p>
            <w:r>
              <w:rPr>
                <w:rFonts w:ascii="Calibri" w:hAnsi="Calibri"/>
                <w:sz w:val="22"/>
              </w:rPr>
              <w:t>↓ Revised down at Q1 earnings; consensus now well below original $7 target; management framed as timing, not magnitude</w:t>
            </w:r>
          </w:p>
        </w:tc>
      </w:tr>
      <w:tr>
        <w:tc>
          <w:tcPr>
            <w:tcW w:type="dxa" w:w="1728"/>
          </w:tcPr>
          <w:p>
            <w:r>
              <w:rPr>
                <w:rFonts w:ascii="Calibri" w:hAnsi="Calibri"/>
                <w:sz w:val="22"/>
              </w:rPr>
              <w:t>FY2026 Fundraising</w:t>
            </w:r>
          </w:p>
        </w:tc>
        <w:tc>
          <w:tcPr>
            <w:tcW w:type="dxa" w:w="1728"/>
          </w:tcPr>
          <w:p>
            <w:r>
              <w:rPr>
                <w:rFonts w:ascii="Calibri" w:hAnsi="Calibri"/>
                <w:sz w:val="22"/>
              </w:rPr>
              <w:t>Exceed all-time record of $129B; management “very confident”</w:t>
            </w:r>
          </w:p>
        </w:tc>
        <w:tc>
          <w:tcPr>
            <w:tcW w:type="dxa" w:w="1728"/>
          </w:tcPr>
          <w:p>
            <w:r>
              <w:rPr>
                <w:rFonts w:ascii="Calibri" w:hAnsi="Calibri"/>
                <w:sz w:val="22"/>
              </w:rPr>
              <w:t>—</w:t>
            </w:r>
          </w:p>
        </w:tc>
        <w:tc>
          <w:tcPr>
            <w:tcW w:type="dxa" w:w="1728"/>
          </w:tcPr>
          <w:p>
            <w:r>
              <w:rPr>
                <w:rFonts w:ascii="Calibri" w:hAnsi="Calibri"/>
                <w:sz w:val="22"/>
              </w:rPr>
              <w:t>N/A (no consensus estimate)</w:t>
            </w:r>
          </w:p>
        </w:tc>
        <w:tc>
          <w:tcPr>
            <w:tcW w:type="dxa" w:w="1728"/>
          </w:tcPr>
          <w:p>
            <w:r>
              <w:rPr>
                <w:rFonts w:ascii="Calibri" w:hAnsi="Calibri"/>
                <w:sz w:val="22"/>
              </w:rPr>
              <w:t>Reaffirmed at Bernstein (May 27); $127B raised LTM as of Q1, within $2B of all-time record</w:t>
            </w:r>
          </w:p>
        </w:tc>
      </w:tr>
      <w:tr>
        <w:tc>
          <w:tcPr>
            <w:tcW w:type="dxa" w:w="1728"/>
          </w:tcPr>
          <w:p>
            <w:r>
              <w:rPr>
                <w:rFonts w:ascii="Calibri" w:hAnsi="Calibri"/>
                <w:sz w:val="22"/>
              </w:rPr>
              <w:t>FY2026 Strategic Holdings Operating Earnings</w:t>
            </w:r>
          </w:p>
        </w:tc>
        <w:tc>
          <w:tcPr>
            <w:tcW w:type="dxa" w:w="1728"/>
          </w:tcPr>
          <w:p>
            <w:r>
              <w:rPr>
                <w:rFonts w:ascii="Calibri" w:hAnsi="Calibri"/>
                <w:sz w:val="22"/>
              </w:rPr>
              <w:t>&gt;$350M; back-end weighted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Reaffirmed; management tracking “nicely” toward target; earnings expected more back-half weighted</w:t>
            </w:r>
          </w:p>
        </w:tc>
      </w:tr>
      <w:tr>
        <w:tc>
          <w:tcPr>
            <w:tcW w:type="dxa" w:w="1728"/>
          </w:tcPr>
          <w:p>
            <w:r>
              <w:rPr>
                <w:rFonts w:ascii="Calibri" w:hAnsi="Calibri"/>
                <w:sz w:val="22"/>
              </w:rPr>
              <w:t>FY2026 Insurance Operating Earnings</w:t>
            </w:r>
          </w:p>
        </w:tc>
        <w:tc>
          <w:tcPr>
            <w:tcW w:type="dxa" w:w="1728"/>
          </w:tcPr>
          <w:p>
            <w:r>
              <w:rPr>
                <w:rFonts w:ascii="Calibri" w:hAnsi="Calibri"/>
                <w:sz w:val="22"/>
              </w:rPr>
              <w:t>~$1B for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Q1 insurance operating earnings were $260M ($300M+ including investment marks); pivoting toward longer-duration liabilities</w:t>
            </w:r>
          </w:p>
        </w:tc>
      </w:tr>
      <w:tr>
        <w:tc>
          <w:tcPr>
            <w:tcW w:type="dxa" w:w="1728"/>
          </w:tcPr>
          <w:p>
            <w:r>
              <w:rPr>
                <w:rFonts w:ascii="Calibri" w:hAnsi="Calibri"/>
                <w:sz w:val="22"/>
              </w:rPr>
              <w:t>Management Fee Growth</w:t>
            </w:r>
          </w:p>
        </w:tc>
        <w:tc>
          <w:tcPr>
            <w:tcW w:type="dxa" w:w="1728"/>
          </w:tcPr>
          <w:p>
            <w:r>
              <w:rPr>
                <w:rFonts w:ascii="Calibri" w:hAnsi="Calibri"/>
                <w:sz w:val="22"/>
              </w:rPr>
              <w:t>Low-20s% organic growth; highest margins in industry, expected to increase</w:t>
            </w:r>
          </w:p>
        </w:tc>
        <w:tc>
          <w:tcPr>
            <w:tcW w:type="dxa" w:w="1728"/>
          </w:tcPr>
          <w:p>
            <w:r>
              <w:rPr>
                <w:rFonts w:ascii="Calibri" w:hAnsi="Calibri"/>
                <w:sz w:val="22"/>
              </w:rPr>
              <w:t>—</w:t>
            </w:r>
          </w:p>
        </w:tc>
        <w:tc>
          <w:tcPr>
            <w:tcW w:type="dxa" w:w="1728"/>
          </w:tcPr>
          <w:p>
            <w:r>
              <w:rPr>
                <w:rFonts w:ascii="Calibri" w:hAnsi="Calibri"/>
                <w:sz w:val="22"/>
              </w:rPr>
              <w:t>~19% YoY implied by Q2 consensus</w:t>
            </w:r>
          </w:p>
        </w:tc>
        <w:tc>
          <w:tcPr>
            <w:tcW w:type="dxa" w:w="1728"/>
          </w:tcPr>
          <w:p>
            <w:r>
              <w:rPr>
                <w:rFonts w:ascii="Calibri" w:hAnsi="Calibri"/>
                <w:sz w:val="22"/>
              </w:rPr>
              <w:t>Reaffirmed at Bernstein (May 27); 23% LTM growth as of Q1</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FRE estimates have drifted modestly higher since the Q1 print, consistent with management’s confident tone on the recurring earnings engine. ANI estimates have been revised down materially from the original $7+ target, now sitting at $6.09 for FY2026 — the gap between guidance (below $7) and consensus ($6.09) suggests the Street has already priced in a meaningful monetization shortfall, creating potential upside if Q2 realizations surprise.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12, 2026)</w:t>
            </w:r>
          </w:p>
        </w:tc>
        <w:tc>
          <w:tcPr>
            <w:tcW w:type="dxa" w:w="1080"/>
            <w:shd w:val="clear" w:color="auto" w:fill="3B4259"/>
          </w:tcPr>
          <w:p>
            <w:r>
              <w:rPr>
                <w:rFonts w:ascii="Calibri" w:hAnsi="Calibri"/>
                <w:b/>
                <w:color w:val="FFFFFF"/>
                <w:sz w:val="22"/>
              </w:rPr>
              <w:t>Current Consensus (July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FRE/Share — Q2 2026</w:t>
            </w:r>
          </w:p>
        </w:tc>
        <w:tc>
          <w:tcPr>
            <w:tcW w:type="dxa" w:w="1080"/>
          </w:tcPr>
          <w:p>
            <w:r>
              <w:rPr>
                <w:rFonts w:ascii="Calibri" w:hAnsi="Calibri"/>
                <w:sz w:val="22"/>
              </w:rPr>
              <w:t>$1.165</w:t>
            </w:r>
          </w:p>
        </w:tc>
        <w:tc>
          <w:tcPr>
            <w:tcW w:type="dxa" w:w="1080"/>
          </w:tcPr>
          <w:p>
            <w:r>
              <w:rPr>
                <w:rFonts w:ascii="Calibri" w:hAnsi="Calibri"/>
                <w:sz w:val="22"/>
              </w:rPr>
              <w:t>$1.161</w:t>
            </w:r>
          </w:p>
        </w:tc>
        <w:tc>
          <w:tcPr>
            <w:tcW w:type="dxa" w:w="1080"/>
          </w:tcPr>
          <w:p>
            <w:r>
              <w:rPr>
                <w:rFonts w:ascii="Calibri" w:hAnsi="Calibri"/>
                <w:sz w:val="22"/>
              </w:rPr>
              <w:t>-0.3%</w:t>
            </w:r>
          </w:p>
        </w:tc>
        <w:tc>
          <w:tcPr>
            <w:tcW w:type="dxa" w:w="1080"/>
          </w:tcPr>
          <w:p>
            <w:r>
              <w:rPr>
                <w:rFonts w:ascii="Calibri" w:hAnsi="Calibri"/>
                <w:sz w:val="22"/>
              </w:rPr>
              <w:t>No specific Q2 guidance; FY &gt;$4.50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 above implied $1.13/qtr run-rate</w:t>
            </w:r>
          </w:p>
        </w:tc>
      </w:tr>
      <w:tr>
        <w:tc>
          <w:tcPr>
            <w:tcW w:type="dxa" w:w="1080"/>
          </w:tcPr>
          <w:p>
            <w:r>
              <w:rPr>
                <w:rFonts w:ascii="Calibri" w:hAnsi="Calibri"/>
                <w:sz w:val="22"/>
              </w:rPr>
              <w:t>FRE/Share — FY2026</w:t>
            </w:r>
          </w:p>
        </w:tc>
        <w:tc>
          <w:tcPr>
            <w:tcW w:type="dxa" w:w="1080"/>
          </w:tcPr>
          <w:p>
            <w:r>
              <w:rPr>
                <w:rFonts w:ascii="Calibri" w:hAnsi="Calibri"/>
                <w:sz w:val="22"/>
              </w:rPr>
              <w:t>$4.782</w:t>
            </w:r>
          </w:p>
        </w:tc>
        <w:tc>
          <w:tcPr>
            <w:tcW w:type="dxa" w:w="1080"/>
          </w:tcPr>
          <w:p>
            <w:r>
              <w:rPr>
                <w:rFonts w:ascii="Calibri" w:hAnsi="Calibri"/>
                <w:sz w:val="22"/>
              </w:rPr>
              <w:t>$4.831</w:t>
            </w:r>
          </w:p>
        </w:tc>
        <w:tc>
          <w:tcPr>
            <w:tcW w:type="dxa" w:w="1080"/>
          </w:tcPr>
          <w:p>
            <w:r>
              <w:rPr>
                <w:rFonts w:ascii="Calibri" w:hAnsi="Calibri"/>
                <w:b/>
                <w:color w:val="30A46C"/>
                <w:sz w:val="22"/>
              </w:rPr>
              <w:t>+1.0%</w:t>
            </w:r>
          </w:p>
        </w:tc>
        <w:tc>
          <w:tcPr>
            <w:tcW w:type="dxa" w:w="1080"/>
          </w:tcPr>
          <w:p>
            <w:r>
              <w:rPr>
                <w:rFonts w:ascii="Calibri" w:hAnsi="Calibri"/>
                <w:sz w:val="22"/>
              </w:rPr>
              <w:t>&gt;$4.50/share</w:t>
            </w:r>
          </w:p>
        </w:tc>
        <w:tc>
          <w:tcPr>
            <w:tcW w:type="dxa" w:w="1080"/>
          </w:tcPr>
          <w:p>
            <w:r>
              <w:rPr>
                <w:rFonts w:ascii="Calibri" w:hAnsi="Calibri"/>
                <w:sz w:val="22"/>
              </w:rPr>
              <w:t>Unchanged; reaffirmed with “unreserved yes”</w:t>
            </w:r>
          </w:p>
        </w:tc>
        <w:tc>
          <w:tcPr>
            <w:tcW w:type="dxa" w:w="1080"/>
          </w:tcPr>
          <w:p>
            <w:r>
              <w:rPr>
                <w:rFonts w:ascii="Calibri" w:hAnsi="Calibri"/>
                <w:sz w:val="22"/>
              </w:rPr>
              <w:t>—</w:t>
            </w:r>
          </w:p>
        </w:tc>
        <w:tc>
          <w:tcPr>
            <w:tcW w:type="dxa" w:w="1080"/>
          </w:tcPr>
          <w:p>
            <w:r>
              <w:rPr>
                <w:rFonts w:ascii="Calibri" w:hAnsi="Calibri"/>
                <w:sz w:val="22"/>
              </w:rPr>
              <w:t>+7.4% above $4.50 floor</w:t>
            </w:r>
          </w:p>
        </w:tc>
      </w:tr>
      <w:tr>
        <w:tc>
          <w:tcPr>
            <w:tcW w:type="dxa" w:w="1080"/>
          </w:tcPr>
          <w:p>
            <w:r>
              <w:rPr>
                <w:rFonts w:ascii="Calibri" w:hAnsi="Calibri"/>
                <w:sz w:val="22"/>
              </w:rPr>
              <w:t>ANI/Share — Q2 2026</w:t>
            </w:r>
          </w:p>
        </w:tc>
        <w:tc>
          <w:tcPr>
            <w:tcW w:type="dxa" w:w="1080"/>
          </w:tcPr>
          <w:p>
            <w:r>
              <w:rPr>
                <w:rFonts w:ascii="Calibri" w:hAnsi="Calibri"/>
                <w:sz w:val="22"/>
              </w:rPr>
              <w:t>$1.381</w:t>
            </w:r>
          </w:p>
        </w:tc>
        <w:tc>
          <w:tcPr>
            <w:tcW w:type="dxa" w:w="1080"/>
          </w:tcPr>
          <w:p>
            <w:r>
              <w:rPr>
                <w:rFonts w:ascii="Calibri" w:hAnsi="Calibri"/>
                <w:sz w:val="22"/>
              </w:rPr>
              <w:t>$1.419</w:t>
            </w:r>
          </w:p>
        </w:tc>
        <w:tc>
          <w:tcPr>
            <w:tcW w:type="dxa" w:w="1080"/>
          </w:tcPr>
          <w:p>
            <w:r>
              <w:rPr>
                <w:rFonts w:ascii="Calibri" w:hAnsi="Calibri"/>
                <w:b/>
                <w:color w:val="30A46C"/>
                <w:sz w:val="22"/>
              </w:rPr>
              <w:t>+2.8%</w:t>
            </w:r>
          </w:p>
        </w:tc>
        <w:tc>
          <w:tcPr>
            <w:tcW w:type="dxa" w:w="1080"/>
          </w:tcPr>
          <w:p>
            <w:r>
              <w:rPr>
                <w:rFonts w:ascii="Calibri" w:hAnsi="Calibri"/>
                <w:sz w:val="22"/>
              </w:rPr>
              <w:t>No specific Q2 guidance</w:t>
            </w:r>
          </w:p>
        </w:tc>
        <w:tc>
          <w:tcPr>
            <w:tcW w:type="dxa" w:w="1080"/>
          </w:tcPr>
          <w:p>
            <w:r>
              <w:rPr>
                <w:rFonts w:ascii="Calibri" w:hAnsi="Calibri"/>
                <w:sz w:val="22"/>
              </w:rPr>
              <w:t>No specific Q2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ANI/Share — FY2026</w:t>
            </w:r>
          </w:p>
        </w:tc>
        <w:tc>
          <w:tcPr>
            <w:tcW w:type="dxa" w:w="1080"/>
          </w:tcPr>
          <w:p>
            <w:r>
              <w:rPr>
                <w:rFonts w:ascii="Calibri" w:hAnsi="Calibri"/>
                <w:sz w:val="22"/>
              </w:rPr>
              <w:t>$6.031</w:t>
            </w:r>
          </w:p>
        </w:tc>
        <w:tc>
          <w:tcPr>
            <w:tcW w:type="dxa" w:w="1080"/>
          </w:tcPr>
          <w:p>
            <w:r>
              <w:rPr>
                <w:rFonts w:ascii="Calibri" w:hAnsi="Calibri"/>
                <w:sz w:val="22"/>
              </w:rPr>
              <w:t>$6.087</w:t>
            </w:r>
          </w:p>
        </w:tc>
        <w:tc>
          <w:tcPr>
            <w:tcW w:type="dxa" w:w="1080"/>
          </w:tcPr>
          <w:p>
            <w:r>
              <w:rPr>
                <w:rFonts w:ascii="Calibri" w:hAnsi="Calibri"/>
                <w:b/>
                <w:color w:val="30A46C"/>
                <w:sz w:val="22"/>
              </w:rPr>
              <w:t>+0.9%</w:t>
            </w:r>
          </w:p>
        </w:tc>
        <w:tc>
          <w:tcPr>
            <w:tcW w:type="dxa" w:w="1080"/>
          </w:tcPr>
          <w:p>
            <w:r>
              <w:rPr>
                <w:rFonts w:ascii="Calibri" w:hAnsi="Calibri"/>
                <w:sz w:val="22"/>
              </w:rPr>
              <w:t>Originally &gt;$7.00; revised to “below $7” on May 5</w:t>
            </w:r>
          </w:p>
        </w:tc>
        <w:tc>
          <w:tcPr>
            <w:tcW w:type="dxa" w:w="1080"/>
          </w:tcPr>
          <w:p>
            <w:r>
              <w:rPr>
                <w:rFonts w:ascii="Calibri" w:hAnsi="Calibri"/>
                <w:sz w:val="22"/>
              </w:rPr>
              <w:t>Below $7.00 (revised down)</w:t>
            </w:r>
          </w:p>
        </w:tc>
        <w:tc>
          <w:tcPr>
            <w:tcW w:type="dxa" w:w="1080"/>
          </w:tcPr>
          <w:p>
            <w:r>
              <w:rPr>
                <w:rFonts w:ascii="Calibri" w:hAnsi="Calibri"/>
                <w:sz w:val="22"/>
              </w:rPr>
              <w:t>↓ Lowered</w:t>
            </w:r>
          </w:p>
        </w:tc>
        <w:tc>
          <w:tcPr>
            <w:tcW w:type="dxa" w:w="1080"/>
          </w:tcPr>
          <w:p>
            <w:r>
              <w:rPr>
                <w:rFonts w:ascii="Calibri" w:hAnsi="Calibri"/>
                <w:sz w:val="22"/>
              </w:rPr>
              <w:t>$6.09 is 13% below original $7 target; within revised “below $7” range</w:t>
            </w:r>
          </w:p>
        </w:tc>
      </w:tr>
      <w:tr>
        <w:tc>
          <w:tcPr>
            <w:tcW w:type="dxa" w:w="1080"/>
          </w:tcPr>
          <w:p>
            <w:r>
              <w:rPr>
                <w:rFonts w:ascii="Calibri" w:hAnsi="Calibri"/>
                <w:sz w:val="22"/>
              </w:rPr>
              <w:t>Management Fees — Q2 2026 ($M)</w:t>
            </w:r>
          </w:p>
        </w:tc>
        <w:tc>
          <w:tcPr>
            <w:tcW w:type="dxa" w:w="1080"/>
          </w:tcPr>
          <w:p>
            <w:r>
              <w:rPr>
                <w:rFonts w:ascii="Calibri" w:hAnsi="Calibri"/>
                <w:sz w:val="22"/>
              </w:rPr>
              <w:t>$1,185M</w:t>
            </w:r>
          </w:p>
        </w:tc>
        <w:tc>
          <w:tcPr>
            <w:tcW w:type="dxa" w:w="1080"/>
          </w:tcPr>
          <w:p>
            <w:r>
              <w:rPr>
                <w:rFonts w:ascii="Calibri" w:hAnsi="Calibri"/>
                <w:sz w:val="22"/>
              </w:rPr>
              <w:t>$1,184M</w:t>
            </w:r>
          </w:p>
        </w:tc>
        <w:tc>
          <w:tcPr>
            <w:tcW w:type="dxa" w:w="1080"/>
          </w:tcPr>
          <w:p>
            <w:r>
              <w:rPr>
                <w:rFonts w:ascii="Calibri" w:hAnsi="Calibri"/>
                <w:sz w:val="22"/>
              </w:rPr>
              <w:t>-0.1%</w:t>
            </w:r>
          </w:p>
        </w:tc>
        <w:tc>
          <w:tcPr>
            <w:tcW w:type="dxa" w:w="1080"/>
          </w:tcPr>
          <w:p>
            <w:r>
              <w:rPr>
                <w:rFonts w:ascii="Calibri" w:hAnsi="Calibri"/>
                <w:sz w:val="22"/>
              </w:rPr>
              <w:t>Low-20s% organic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~19% YoY; slightly below 23% LTM pace</w:t>
            </w:r>
          </w:p>
        </w:tc>
      </w:tr>
      <w:tr>
        <w:tc>
          <w:tcPr>
            <w:tcW w:type="dxa" w:w="1080"/>
          </w:tcPr>
          <w:p>
            <w:r>
              <w:rPr>
                <w:rFonts w:ascii="Calibri" w:hAnsi="Calibri"/>
                <w:sz w:val="22"/>
              </w:rPr>
              <w:t>Total AUM — Q2 2026 ($B)</w:t>
            </w:r>
          </w:p>
        </w:tc>
        <w:tc>
          <w:tcPr>
            <w:tcW w:type="dxa" w:w="1080"/>
          </w:tcPr>
          <w:p>
            <w:r>
              <w:rPr>
                <w:rFonts w:ascii="Calibri" w:hAnsi="Calibri"/>
                <w:sz w:val="22"/>
              </w:rPr>
              <w:t>$787B</w:t>
            </w:r>
          </w:p>
        </w:tc>
        <w:tc>
          <w:tcPr>
            <w:tcW w:type="dxa" w:w="1080"/>
          </w:tcPr>
          <w:p>
            <w:r>
              <w:rPr>
                <w:rFonts w:ascii="Calibri" w:hAnsi="Calibri"/>
                <w:sz w:val="22"/>
              </w:rPr>
              <w:t>$788B</w:t>
            </w:r>
          </w:p>
        </w:tc>
        <w:tc>
          <w:tcPr>
            <w:tcW w:type="dxa" w:w="1080"/>
          </w:tcPr>
          <w:p>
            <w:r>
              <w:rPr>
                <w:rFonts w:ascii="Calibri" w:hAnsi="Calibri"/>
                <w:sz w:val="22"/>
              </w:rPr>
              <w:t>+0.1%</w:t>
            </w:r>
          </w:p>
        </w:tc>
        <w:tc>
          <w:tcPr>
            <w:tcW w:type="dxa" w:w="1080"/>
          </w:tcPr>
          <w:p>
            <w:r>
              <w:rPr>
                <w:rFonts w:ascii="Calibri" w:hAnsi="Calibri"/>
                <w:sz w:val="22"/>
              </w:rPr>
              <w:t>No specific AUM target</w:t>
            </w:r>
          </w:p>
        </w:tc>
        <w:tc>
          <w:tcPr>
            <w:tcW w:type="dxa" w:w="1080"/>
          </w:tcPr>
          <w:p>
            <w:r>
              <w:rPr>
                <w:rFonts w:ascii="Calibri" w:hAnsi="Calibri"/>
                <w:sz w:val="22"/>
              </w:rPr>
              <w:t>No specific AUM target</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Source: Visible Alpha Consensus and Actuals Data. Post-earnings baseline as of approximately May 12, 2026 (5 trading days after May 5 Q1 earnings). FRE estimates have been stable-to-slightly-rising since the Q1 print, while ANI estimates reflect the revised-down guidance. The modest upward drift in Q2 ANI estimates (+2.8%) since the post-print baseline suggests the Street may be partially pricing in some monetization recovery.</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KKR has significantly underperformed both XLF (+11%) and the S&amp;P 500 (+2%) since the May 5 Q1 earnings date, driven primarily by the ANI guidance cut and market anxiety around private credit/insurance competition — not by deteriorating fundamentals. The stock’s de-rating creates a potentially attractive setup if Q2 realizations surprise to the upside.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KKR vs. XLF (Financials ETF) vs. S&amp;P 500 — Indexed to 100 at May 5, 2026 Q1 Earnings Date. Source: Yahoo Finance / Stock Price Data.</w:t>
      </w:r>
    </w:p>
    <w:p>
      <w:r>
        <w:rPr>
          <w:rFonts w:ascii="Calibri" w:hAnsi="Calibri"/>
          <w:b/>
          <w:color w:val="525866"/>
          <w:sz w:val="22"/>
        </w:rPr>
        <w:t xml:space="preserve">Performance Summary (May 5 – July 28, 2026): </w:t>
      </w:r>
      <w:r>
        <w:rPr>
          <w:rFonts w:ascii="Calibri" w:hAnsi="Calibri"/>
          <w:color w:val="525866"/>
          <w:sz w:val="22"/>
        </w:rPr>
        <w:t>KKR: +0.6% | XLF: +11.6% | S&amp;P 500: +2.4%. KKR’s underperformance vs. XLF is notable given that the broader financials sector has rallied sharply on strong bank earnings and improving capital markets activity. KKR’s lag reflects the market’s focus on the ANI guidance cut and near-term monetization uncertainty, rather than the firm’s strong underlying operating metrics (FRE +20% YoY, management fees +23% LTM). The stock recovered from a trough of ~$89 in late June to ~$103 by late July, suggesting some re-rating as the monetization pipeline narrative gained traction. Sector ETF used: XLF (Financial Select Sector SPDR Fund), which captures KKR’s broad financial sector peer group. Source: Stock Price Data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launch of Helix Digital Infrastructure (led by former AWS CEO Adam Selipsky) and the DCC Energy acquisition — both signal KKR’s aggressive push into digital/AI infrastructure, which is the fastest-growing deployment theme across the alternative asset management industry. These moves directly address management’s stated view that KKR is “meaningfully undercapitalized” in digital infrastructure relative to the opportunity set.</w:t>
      </w:r>
    </w:p>
    <w:p>
      <w:pPr>
        <w:pStyle w:val="ListBullet"/>
        <w:ind w:left="360" w:hanging="360"/>
      </w:pPr>
      <w:r>
        <w:rPr>
          <w:rFonts w:ascii="Calibri" w:hAnsi="Calibri"/>
          <w:b/>
          <w:color w:val="525866"/>
          <w:sz w:val="22"/>
        </w:rPr>
        <w:t xml:space="preserve">July 27, 2026 — KKR Acquires DCC Energy for £5.75B: </w:t>
      </w:r>
      <w:r>
        <w:rPr>
          <w:rFonts w:ascii="Calibri" w:hAnsi="Calibri"/>
          <w:color w:val="525866"/>
          <w:sz w:val="22"/>
        </w:rPr>
        <w:t>KKR agreed to acquire Ireland’s DCC Energy in a £5.75 billion takeover. Implication: Demonstrates continued large-scale deployment capability and expands KKR’s European real assets footprint; consistent with management’s emphasis on industrial corporate carve-outs as the “most untapped area of opportunity” in real assets.</w:t>
      </w:r>
    </w:p>
    <w:p>
      <w:pPr>
        <w:pStyle w:val="ListBullet"/>
        <w:ind w:left="360" w:hanging="360"/>
      </w:pPr>
      <w:r>
        <w:rPr>
          <w:rFonts w:ascii="Calibri" w:hAnsi="Calibri"/>
          <w:b/>
          <w:color w:val="525866"/>
          <w:sz w:val="22"/>
        </w:rPr>
        <w:t xml:space="preserve">July 1, 2026 — KKR Announces Q2 2026 Earnings Date: </w:t>
      </w:r>
      <w:r>
        <w:rPr>
          <w:rFonts w:ascii="Calibri" w:hAnsi="Calibri"/>
          <w:color w:val="525866"/>
          <w:sz w:val="22"/>
        </w:rPr>
        <w:t>KKR confirmed it will report Q2 2026 results on July 30, 2026 before the US open, with an earnings call at 9:00 AM ET.</w:t>
      </w:r>
    </w:p>
    <w:p>
      <w:pPr>
        <w:pStyle w:val="ListBullet"/>
        <w:ind w:left="360" w:hanging="360"/>
      </w:pPr>
      <w:r>
        <w:rPr>
          <w:rFonts w:ascii="Calibri" w:hAnsi="Calibri"/>
          <w:b/>
          <w:color w:val="525866"/>
          <w:sz w:val="22"/>
        </w:rPr>
        <w:t xml:space="preserve">June 10, 2026 — Morgan Stanley Financials Conference (Real Assets): </w:t>
      </w:r>
      <w:r>
        <w:rPr>
          <w:rFonts w:ascii="Calibri" w:hAnsi="Calibri"/>
          <w:color w:val="525866"/>
          <w:sz w:val="22"/>
        </w:rPr>
        <w:t>KKR’s Head of Real Assets Raj Agrawal presented at the Morgan Stanley Financials Conference, highlighting: (1) Infrastructure Fund V currently in market; (2) digital infrastructure opportunity set is ~10x current annual deployment of $2.5-3B/year; (3) renewables now “more attractive than ever” with 90-95% of value in operating assets vs. growth optionality; (4) real estate cyclical opportunity in multifamily/industrial with construction activity down ~60%. Implication: Reinforces the fundraising and deployment narrative heading into Q2 results.</w:t>
      </w:r>
    </w:p>
    <w:p>
      <w:pPr>
        <w:pStyle w:val="ListBullet"/>
        <w:ind w:left="360" w:hanging="360"/>
      </w:pPr>
      <w:r>
        <w:rPr>
          <w:rFonts w:ascii="Calibri" w:hAnsi="Calibri"/>
          <w:b/>
          <w:color w:val="525866"/>
          <w:sz w:val="22"/>
        </w:rPr>
        <w:t xml:space="preserve">May 27, 2026 — Bernstein Strategic Decisions Conference (Co-CEO Scott Nuttall): </w:t>
      </w:r>
      <w:r>
        <w:rPr>
          <w:rFonts w:ascii="Calibri" w:hAnsi="Calibri"/>
          <w:color w:val="525866"/>
          <w:sz w:val="22"/>
        </w:rPr>
        <w:t>Nuttall stated “From our seats, it does not at all feel like a tough environment” and reaffirmed 20%+ FRE growth for 2026. Key data points: $127B raised LTM (within $2B of all-time record); wealth AUM grew 80% YoY to $38B; direct lending spreads out 50-100bps with better terms; ABF AUM at $92B vs. $39B in direct lending. Implication: Most bullish management commentary since Q1 earnings; sets a high bar for tone on the Q2 call.</w:t>
      </w:r>
    </w:p>
    <w:p>
      <w:pPr>
        <w:pStyle w:val="ListBullet"/>
        <w:ind w:left="360" w:hanging="360"/>
      </w:pPr>
      <w:r>
        <w:rPr>
          <w:rFonts w:ascii="Calibri" w:hAnsi="Calibri"/>
          <w:b/>
          <w:color w:val="525866"/>
          <w:sz w:val="22"/>
        </w:rPr>
        <w:t xml:space="preserve">May 5, 2026 — Q1 2026 Earnings (Key Forward-Looking Items): </w:t>
      </w:r>
      <w:r>
        <w:rPr>
          <w:rFonts w:ascii="Calibri" w:hAnsi="Calibri"/>
          <w:color w:val="525866"/>
          <w:sz w:val="22"/>
        </w:rPr>
        <w:t>Management disclosed: (1) Record forward monetization pipeline &gt;$1.2B gross (largest ever disclosed); (2) ANI guidance revised to “below $7” for FY2026; (3) FRE/TOE guidance reaffirmed; (4) Board authorized additional $500M share repurchase; (5) Co-CEOs and directors personally purchased stock; (6) Arctos acquisition closed, establishing KKR Solutions platform. Implication: The combination of a guidance cut and record monetization pipeline creates a binary setup for Q2.</w:t>
      </w:r>
    </w:p>
    <w:p>
      <w:pPr>
        <w:pStyle w:val="ListBullet"/>
        <w:ind w:left="360" w:hanging="360"/>
      </w:pPr>
      <w:r>
        <w:rPr>
          <w:rFonts w:ascii="Calibri" w:hAnsi="Calibri"/>
          <w:b/>
          <w:color w:val="525866"/>
          <w:sz w:val="22"/>
        </w:rPr>
        <w:t xml:space="preserve">Ongoing — Private Credit Redemption Concerns (Industry-Wide): </w:t>
      </w:r>
      <w:r>
        <w:rPr>
          <w:rFonts w:ascii="Calibri" w:hAnsi="Calibri"/>
          <w:color w:val="525866"/>
          <w:sz w:val="22"/>
        </w:rPr>
        <w:t>Blue Owl maintained its 5% withdrawal limit as redemption requests eased to $4.7B in Q2 (July 2, 2026); Ares capped private-credit fund redemptions again with 14% of investors seeking exits (June 25, 2026); Blackstone’s BCRED saw elevated redemptions but reported Q3 requests “down materially” (July 23, 2026). Implication: KKR’s wealth channel (K-Series, $38B AUM) may face similar headwinds; management guided for a Q2 slowdown in K-Series flows at Q1 earnings. Watch for Q2 K-Series net flow data.</w:t>
      </w:r>
    </w:p>
    <w:p>
      <w:pPr>
        <w:pStyle w:val="ListBullet"/>
        <w:ind w:left="360" w:hanging="360"/>
      </w:pPr>
      <w:r>
        <w:rPr>
          <w:rFonts w:ascii="Calibri" w:hAnsi="Calibri"/>
          <w:b/>
          <w:color w:val="525866"/>
          <w:sz w:val="22"/>
        </w:rPr>
        <w:t xml:space="preserve">Ongoing — AI/Digital Infrastructure Capex Boom: </w:t>
      </w:r>
      <w:r>
        <w:rPr>
          <w:rFonts w:ascii="Calibri" w:hAnsi="Calibri"/>
          <w:color w:val="525866"/>
          <w:sz w:val="22"/>
        </w:rPr>
        <w:t>Blackstone reported its data center platform grew to $185B total value (from $130B at start of 2026) and expects to lease 3x more capacity in 2026 than any prior year (July 23, 2026). Apollo guided to $300-400B in origination of excess spread assets in 2026. Implication: Validates KKR’s strategic pivot toward digital infrastructure and supports the fundraising narrative for KKR’s new Helix Digital Infrastructure platform.</w:t>
      </w:r>
    </w:p>
    <w:p>
      <w:pPr>
        <w:pStyle w:val="ListBullet"/>
        <w:ind w:left="360" w:hanging="360"/>
      </w:pPr>
      <w:r>
        <w:rPr>
          <w:rFonts w:ascii="Calibri" w:hAnsi="Calibri"/>
          <w:b/>
          <w:color w:val="525866"/>
          <w:sz w:val="22"/>
        </w:rPr>
        <w:t xml:space="preserve">Ongoing — Analyst/Street Sentiment: </w:t>
      </w:r>
      <w:r>
        <w:rPr>
          <w:rFonts w:ascii="Calibri" w:hAnsi="Calibri"/>
          <w:color w:val="525866"/>
          <w:sz w:val="22"/>
        </w:rPr>
        <w:t>Per news digest (July 24, 2026), Street expectations call for total AUM growth of 15% to $788B with EPS of $1.43 for Q2. Sentiment described as “positive on the long-term outlook” with “some near-term concern about the monetization environment and increased competition in the insurance business.”</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The only disclosed open-market transaction since Q1 earnings is a large sale by Henry Kravis (10% Owner) on June 5, 2026 — however, this was an indirect/trust disposition and should be interpreted cautiously. More notable is the absence of open-market buys from Co-CEOs or directors in the post-Q1 window, despite management explicitly stating at Q1 earnings that Co-CEOs and board members personally purchased stock during Q1 (at ~$91 average price). No new discretionary buys have been disclosed since the Q1 earnings date.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Henry R. Kravis</w:t>
            </w:r>
          </w:p>
        </w:tc>
        <w:tc>
          <w:tcPr>
            <w:tcW w:type="dxa" w:w="1440"/>
          </w:tcPr>
          <w:p>
            <w:r>
              <w:rPr>
                <w:rFonts w:ascii="Calibri" w:hAnsi="Calibri"/>
                <w:sz w:val="22"/>
              </w:rPr>
              <w:t>10% Owner (Co-Founder)</w:t>
            </w:r>
          </w:p>
        </w:tc>
        <w:tc>
          <w:tcPr>
            <w:tcW w:type="dxa" w:w="1440"/>
          </w:tcPr>
          <w:p>
            <w:r>
              <w:rPr>
                <w:rFonts w:ascii="Calibri" w:hAnsi="Calibri"/>
                <w:sz w:val="22"/>
              </w:rPr>
              <w:t>Open Market Sale (Indirect)</w:t>
            </w:r>
          </w:p>
        </w:tc>
        <w:tc>
          <w:tcPr>
            <w:tcW w:type="dxa" w:w="1440"/>
          </w:tcPr>
          <w:p>
            <w:r>
              <w:rPr>
                <w:rFonts w:ascii="Calibri" w:hAnsi="Calibri"/>
                <w:sz w:val="22"/>
              </w:rPr>
              <w:t>~14.67M shares disposed</w:t>
            </w:r>
          </w:p>
        </w:tc>
        <w:tc>
          <w:tcPr>
            <w:tcW w:type="dxa" w:w="1440"/>
          </w:tcPr>
          <w:p>
            <w:r>
              <w:rPr>
                <w:rFonts w:ascii="Calibri" w:hAnsi="Calibri"/>
                <w:sz w:val="22"/>
              </w:rPr>
              <w:t>June 5, 2026</w:t>
            </w:r>
          </w:p>
        </w:tc>
        <w:tc>
          <w:tcPr>
            <w:tcW w:type="dxa" w:w="1440"/>
          </w:tcPr>
          <w:p>
            <w:r>
              <w:rPr>
                <w:rFonts w:ascii="Calibri" w:hAnsi="Calibri"/>
                <w:sz w:val="22"/>
              </w:rPr>
              <w:t>Indirect ownership (trust/entity); 26.8M shares remain. Large in absolute size but indirect structure limits read-through signal. Not a discretionary personal sale.</w:t>
            </w:r>
          </w:p>
        </w:tc>
      </w:tr>
    </w:tbl>
    <w:p>
      <w:r>
        <w:rPr>
          <w:rFonts w:ascii="Calibri" w:hAnsi="Calibri"/>
          <w:color w:val="525866"/>
          <w:sz w:val="22"/>
        </w:rPr>
        <w:t>Source: SEC Form 4 Filings / Insider Transaction Data. Note: The Co-CEO personal stock purchases disclosed at Q1 earnings (executed during Q1 2026 at ~$91 average) were the most notable insider signal; those transactions were filed prior to the May 5 earnings date and are not reflected in the post-earnings window above. The absence of new open-market buys since May 5 is not unusual given the stock’s recovery from ~$89 lows back toward ~$103, which may have reduced the perceived mispricing that motivated Q1 purchases.</w:t>
      </w:r>
    </w:p>
    <w:p>
      <w:r>
        <w:br w:type="page"/>
      </w:r>
    </w:p>
    <w:p>
      <w:pPr>
        <w:pStyle w:val="Heading2"/>
      </w:pPr>
      <w:r>
        <w:rPr>
          <w:rFonts w:ascii="Calibri" w:hAnsi="Calibri"/>
          <w:b/>
          <w:color w:val="3B4259"/>
          <w:sz w:val="28"/>
        </w:rPr>
        <w:t>8. Peer Commentaries &amp; Read-Through</w:t>
      </w:r>
    </w:p>
    <w:p>
      <w:r>
        <w:rPr>
          <w:rFonts w:ascii="Calibri" w:hAnsi="Calibri"/>
          <w:b/>
          <w:color w:val="525866"/>
          <w:sz w:val="22"/>
        </w:rPr>
        <w:t xml:space="preserve">Key Takeaway: </w:t>
      </w:r>
      <w:r>
        <w:rPr>
          <w:rFonts w:ascii="Calibri" w:hAnsi="Calibri"/>
          <w:color w:val="525866"/>
          <w:sz w:val="22"/>
        </w:rPr>
        <w:t>Peer commentary from May 30 – July 29, 2026 is broadly constructive for KKR’s Q2 setup: (1) Blackstone’s Q2 results (reported July 23) confirm the AI/digital infrastructure deployment theme is generating record fees and accelerating fundraising; (2) Ares and Apollo commentary confirms institutional demand for private credit is robust and improving; (3) Carlyle and TPG confirm the fundraising “super cycle” thesis; (4) industry-wide private credit redemption concerns appear to be peaking, with Q3 data showing improvement. The primary risk read-through is that monetization remains uneven — Blackstone explicitly flagged that “white collar services, professional information services, enterprise software” face “less liquidity” and buyer caution, which could affect KKR’s software-exposed portfolio.</w:t>
      </w:r>
    </w:p>
    <w:p>
      <w:pPr>
        <w:pStyle w:val="Heading3"/>
      </w:pPr>
      <w:r>
        <w:rPr>
          <w:rFonts w:ascii="Calibri" w:hAnsi="Calibri"/>
          <w:b/>
          <w:color w:val="3B4259"/>
          <w:sz w:val="24"/>
        </w:rPr>
        <w:t>Blackstone (BX) — Q2 2026 Earnings (Reported July 23, 2026)</w:t>
      </w:r>
    </w:p>
    <w:p>
      <w:r>
        <w:rPr>
          <w:rFonts w:ascii="Calibri" w:hAnsi="Calibri"/>
          <w:b/>
          <w:color w:val="525866"/>
          <w:sz w:val="22"/>
        </w:rPr>
        <w:t xml:space="preserve">Read-Through: </w:t>
      </w:r>
      <w:r>
        <w:rPr>
          <w:rFonts w:ascii="Calibri" w:hAnsi="Calibri"/>
          <w:color w:val="525866"/>
          <w:sz w:val="22"/>
        </w:rPr>
        <w:t>POSITIVE for KKR’s Q2 setup across multiple dimensions.</w:t>
      </w:r>
    </w:p>
    <w:p>
      <w:pPr>
        <w:pStyle w:val="ListBullet"/>
        <w:ind w:left="360" w:hanging="360"/>
      </w:pPr>
      <w:r>
        <w:rPr>
          <w:rFonts w:ascii="Calibri" w:hAnsi="Calibri"/>
          <w:b/>
          <w:color w:val="525866"/>
          <w:sz w:val="22"/>
        </w:rPr>
        <w:t xml:space="preserve">AI/Digital Infrastructure Driving Record Fees: </w:t>
      </w:r>
      <w:r>
        <w:rPr>
          <w:rFonts w:ascii="Calibri" w:hAnsi="Calibri"/>
          <w:color w:val="525866"/>
          <w:sz w:val="22"/>
        </w:rPr>
        <w:t>Blackstone reported transaction and advisory fees nearly doubled in Q2 to a record $321M (up 52% sequentially from Q1), driven by infrastructure financings including a $5.3B deal with Williams for data center power. This directly validates KKR’s capital markets revenue thesis — KKR reported $224M in capital markets fees in Q1 and management guided for continued growth as the firm grows.</w:t>
      </w:r>
    </w:p>
    <w:p>
      <w:pPr>
        <w:pStyle w:val="ListBullet"/>
        <w:ind w:left="360" w:hanging="360"/>
      </w:pPr>
      <w:r>
        <w:rPr>
          <w:rFonts w:ascii="Calibri" w:hAnsi="Calibri"/>
          <w:b/>
          <w:color w:val="525866"/>
          <w:sz w:val="22"/>
        </w:rPr>
        <w:t xml:space="preserve">Data Center Platform Momentum: </w:t>
      </w:r>
      <w:r>
        <w:rPr>
          <w:rFonts w:ascii="Calibri" w:hAnsi="Calibri"/>
          <w:color w:val="525866"/>
          <w:sz w:val="22"/>
        </w:rPr>
        <w:t>Blackstone’s data center platform grew to $185B total value (from $130B at start of 2026), with the firm expecting to lease 3x more capacity in 2026 than any prior year. This validates KKR’s Helix Digital Infrastructure launch and the $2.5-3B/year deployment pace management described as a fraction of the opportunity set.</w:t>
      </w:r>
    </w:p>
    <w:p>
      <w:pPr>
        <w:pStyle w:val="ListBullet"/>
        <w:ind w:left="360" w:hanging="360"/>
      </w:pPr>
      <w:r>
        <w:rPr>
          <w:rFonts w:ascii="Calibri" w:hAnsi="Calibri"/>
          <w:b/>
          <w:color w:val="525866"/>
          <w:sz w:val="22"/>
        </w:rPr>
        <w:t xml:space="preserve">Fundraising Acceleration: </w:t>
      </w:r>
      <w:r>
        <w:rPr>
          <w:rFonts w:ascii="Calibri" w:hAnsi="Calibri"/>
          <w:color w:val="525866"/>
          <w:sz w:val="22"/>
        </w:rPr>
        <w:t>Blackstone reported robust inflows across all channels — institutions, insurance, and individual investors. Three funds hit hard caps in 2026 with excess demand. Private wealth AUM grew 16% YoY to a record $324B. BREIT raised $1.2B in Q2 with redemptions down 42% YoY and 33% sequentially — “clearly back in growth mode.” BCRED redemption requests “down materially” early in Q3. This is a positive read-through for KKR’s K-Series wealth channel, which management guided would slow in Q2 but recover.</w:t>
      </w:r>
    </w:p>
    <w:p>
      <w:pPr>
        <w:pStyle w:val="ListBullet"/>
        <w:ind w:left="360" w:hanging="360"/>
      </w:pPr>
      <w:r>
        <w:rPr>
          <w:rFonts w:ascii="Calibri" w:hAnsi="Calibri"/>
          <w:b/>
          <w:color w:val="525866"/>
          <w:sz w:val="22"/>
        </w:rPr>
        <w:t xml:space="preserve">Monetization Environment: </w:t>
      </w:r>
      <w:r>
        <w:rPr>
          <w:rFonts w:ascii="Calibri" w:hAnsi="Calibri"/>
          <w:color w:val="525866"/>
          <w:sz w:val="22"/>
        </w:rPr>
        <w:t>Blackstone flagged an “uneven recovery” in realizations, with strong bids for AI-related and “AI-unaffected” businesses, but “less activity” and buyer caution for “white collar services, professional information services, enterprise software” (estimated at 30-40% of the overall PE market). This is a nuanced read-through for KKR — positive for infrastructure/real assets exits, cautionary for software-exposed portfolio companies.</w:t>
      </w:r>
    </w:p>
    <w:p>
      <w:pPr>
        <w:pStyle w:val="ListBullet"/>
        <w:ind w:left="360" w:hanging="360"/>
      </w:pPr>
      <w:r>
        <w:rPr>
          <w:rFonts w:ascii="Calibri" w:hAnsi="Calibri"/>
          <w:b/>
          <w:color w:val="525866"/>
          <w:sz w:val="22"/>
        </w:rPr>
        <w:t xml:space="preserve">IPO Market Strengthening: </w:t>
      </w:r>
      <w:r>
        <w:rPr>
          <w:rFonts w:ascii="Calibri" w:hAnsi="Calibri"/>
          <w:color w:val="525866"/>
          <w:sz w:val="22"/>
        </w:rPr>
        <w:t>Blackstone executed three IPOs since May and has eight IPOs on file globally. US IPO activity increased six-fold vs. prior year. This is a positive read-through for KKR’s monetization pipeline, which includes public secondary sales as a key exit route.</w:t>
      </w:r>
    </w:p>
    <w:p>
      <w:pPr>
        <w:pStyle w:val="ListBullet"/>
        <w:ind w:left="360" w:hanging="360"/>
      </w:pPr>
      <w:r>
        <w:rPr>
          <w:rFonts w:ascii="Calibri" w:hAnsi="Calibri"/>
          <w:b/>
          <w:color w:val="525866"/>
          <w:sz w:val="22"/>
        </w:rPr>
        <w:t xml:space="preserve">Net Accrued Performance Revenue at 4-Year High: </w:t>
      </w:r>
      <w:r>
        <w:rPr>
          <w:rFonts w:ascii="Calibri" w:hAnsi="Calibri"/>
          <w:color w:val="525866"/>
          <w:sz w:val="22"/>
        </w:rPr>
        <w:t>Blackstone’s store of value reached $7.5B ($6/share), up 13% YoY and 7% sequentially. KKR’s embedded gains of &gt;$18B similarly support future monetization potential.</w:t>
      </w:r>
    </w:p>
    <w:p>
      <w:pPr>
        <w:pStyle w:val="Heading3"/>
      </w:pPr>
      <w:r>
        <w:rPr>
          <w:rFonts w:ascii="Calibri" w:hAnsi="Calibri"/>
          <w:b/>
          <w:color w:val="3B4259"/>
          <w:sz w:val="24"/>
        </w:rPr>
        <w:t>Ares Management (ARES) — Morgan Stanley Financials Conference (June 10, 2026) &amp; Goldman Sachs European Financials Conference (June 3, 2026)</w:t>
      </w:r>
    </w:p>
    <w:p>
      <w:r>
        <w:rPr>
          <w:rFonts w:ascii="Calibri" w:hAnsi="Calibri"/>
          <w:b/>
          <w:color w:val="525866"/>
          <w:sz w:val="22"/>
        </w:rPr>
        <w:t xml:space="preserve">Read-Through: </w:t>
      </w:r>
      <w:r>
        <w:rPr>
          <w:rFonts w:ascii="Calibri" w:hAnsi="Calibri"/>
          <w:color w:val="525866"/>
          <w:sz w:val="22"/>
        </w:rPr>
        <w:t>POSITIVE for KKR’s private credit and fundraising narrative.</w:t>
      </w:r>
    </w:p>
    <w:p>
      <w:pPr>
        <w:pStyle w:val="ListBullet"/>
        <w:ind w:left="360" w:hanging="360"/>
      </w:pPr>
      <w:r>
        <w:rPr>
          <w:rFonts w:ascii="Calibri" w:hAnsi="Calibri"/>
          <w:b/>
          <w:color w:val="525866"/>
          <w:sz w:val="22"/>
        </w:rPr>
        <w:t xml:space="preserve">Institutional Demand for Private Credit Robust: </w:t>
      </w:r>
      <w:r>
        <w:rPr>
          <w:rFonts w:ascii="Calibri" w:hAnsi="Calibri"/>
          <w:color w:val="525866"/>
          <w:sz w:val="22"/>
        </w:rPr>
        <w:t>Ares CEO Michael Arougheti stated the institutional investor community “continues to allocate aggressively into private credit.” Ares’ third opportunistic credit fund hit its hard cap and was “meaningfully in excess of its prior vintage.” Pathfinder III raised $8.5B (hard cap) off a $6.5B cover, with an additional $4B from prior-fund investors extending duration — $12.5B total into the strategy. This validates KKR’s commentary that institutional inbound interest in direct lending has been “meaningful” in recent weeks.</w:t>
      </w:r>
    </w:p>
    <w:p>
      <w:pPr>
        <w:pStyle w:val="ListBullet"/>
        <w:ind w:left="360" w:hanging="360"/>
      </w:pPr>
      <w:r>
        <w:rPr>
          <w:rFonts w:ascii="Calibri" w:hAnsi="Calibri"/>
          <w:b/>
          <w:color w:val="525866"/>
          <w:sz w:val="22"/>
        </w:rPr>
        <w:t xml:space="preserve">Wealth Channel Resilient: </w:t>
      </w:r>
      <w:r>
        <w:rPr>
          <w:rFonts w:ascii="Calibri" w:hAnsi="Calibri"/>
          <w:color w:val="525866"/>
          <w:sz w:val="22"/>
        </w:rPr>
        <w:t>Ares reported Q2 wealth channel gross inflows of ~$3.6B (10% up YoY), roughly flat vs. Q1’s $4.2B. Core infrastructure product raised $1.9B in Q2 ($850M in June alone). Non-traded REIT flows “accelerating again.” Ares expects overall wealth business to grow in 2026. This is a positive read-through for KKR’s K-Series, which management guided would slow in Q2 but recover.</w:t>
      </w:r>
    </w:p>
    <w:p>
      <w:pPr>
        <w:pStyle w:val="ListBullet"/>
        <w:ind w:left="360" w:hanging="360"/>
      </w:pPr>
      <w:r>
        <w:rPr>
          <w:rFonts w:ascii="Calibri" w:hAnsi="Calibri"/>
          <w:b/>
          <w:color w:val="525866"/>
          <w:sz w:val="22"/>
        </w:rPr>
        <w:t xml:space="preserve">Credit Quality Remains Strong: </w:t>
      </w:r>
      <w:r>
        <w:rPr>
          <w:rFonts w:ascii="Calibri" w:hAnsi="Calibri"/>
          <w:color w:val="525866"/>
          <w:sz w:val="22"/>
        </w:rPr>
        <w:t>Ares reported corporate portfolio EBITDA growing ~10%, real estate occupancy at 95-98%, and nonaccrual rates at 1.2-2% (well below historical averages). Loans-to-value at ~45% with interest coverage in the low 2s. An external review of Ares’ 180 software loans found &gt;85% face low risk or may benefit from AI. This is a positive read-through for KKR’s direct lending and ABF portfolios.</w:t>
      </w:r>
    </w:p>
    <w:p>
      <w:pPr>
        <w:pStyle w:val="ListBullet"/>
        <w:ind w:left="360" w:hanging="360"/>
      </w:pPr>
      <w:r>
        <w:rPr>
          <w:rFonts w:ascii="Calibri" w:hAnsi="Calibri"/>
          <w:b/>
          <w:color w:val="525866"/>
          <w:sz w:val="22"/>
        </w:rPr>
        <w:t xml:space="preserve">ABF as Fastest-Growing Segment: </w:t>
      </w:r>
      <w:r>
        <w:rPr>
          <w:rFonts w:ascii="Calibri" w:hAnsi="Calibri"/>
          <w:color w:val="525866"/>
          <w:sz w:val="22"/>
        </w:rPr>
        <w:t>Ares described ABF as the “single fastest grower” within credit, with a $50B platform growing dramatically. Ares pulled forward its U.S. direct lending fund raise due to solid institutional demand. This validates KKR’s ABF thesis ($92B AUM, described as a $6-9T market opportunity).</w:t>
      </w:r>
    </w:p>
    <w:p>
      <w:pPr>
        <w:pStyle w:val="ListBullet"/>
        <w:ind w:left="360" w:hanging="360"/>
      </w:pPr>
      <w:r>
        <w:rPr>
          <w:rFonts w:ascii="Calibri" w:hAnsi="Calibri"/>
          <w:b/>
          <w:color w:val="525866"/>
          <w:sz w:val="22"/>
        </w:rPr>
        <w:t xml:space="preserve">Spread Widening Creates Vintage Opportunity: </w:t>
      </w:r>
      <w:r>
        <w:rPr>
          <w:rFonts w:ascii="Calibri" w:hAnsi="Calibri"/>
          <w:color w:val="525866"/>
          <w:sz w:val="22"/>
        </w:rPr>
        <w:t>Ares (June 3) noted spreads widening 50-75bps due to volatility and retail channel trends, creating “a really nice time to deploy” and “a very, very strong vintage year.” This is consistent with KKR’s Q1 commentary that direct lending terms have improved materially (spreads out 50-100bps, fees up, leverage down).</w:t>
      </w:r>
    </w:p>
    <w:p>
      <w:pPr>
        <w:pStyle w:val="Heading3"/>
      </w:pPr>
      <w:r>
        <w:rPr>
          <w:rFonts w:ascii="Calibri" w:hAnsi="Calibri"/>
          <w:b/>
          <w:color w:val="3B4259"/>
          <w:sz w:val="24"/>
        </w:rPr>
        <w:t>Apollo Global Management (APO) — Morgan Stanley Financials Conference (June 10, 2026)</w:t>
      </w:r>
    </w:p>
    <w:p>
      <w:r>
        <w:rPr>
          <w:rFonts w:ascii="Calibri" w:hAnsi="Calibri"/>
          <w:b/>
          <w:color w:val="525866"/>
          <w:sz w:val="22"/>
        </w:rPr>
        <w:t xml:space="preserve">Read-Through: </w:t>
      </w:r>
      <w:r>
        <w:rPr>
          <w:rFonts w:ascii="Calibri" w:hAnsi="Calibri"/>
          <w:color w:val="525866"/>
          <w:sz w:val="22"/>
        </w:rPr>
        <w:t>MIXED — validates the AI/infrastructure opportunity but highlights software exposure risk.</w:t>
      </w:r>
    </w:p>
    <w:p>
      <w:pPr>
        <w:pStyle w:val="ListBullet"/>
        <w:ind w:left="360" w:hanging="360"/>
      </w:pPr>
      <w:r>
        <w:rPr>
          <w:rFonts w:ascii="Calibri" w:hAnsi="Calibri"/>
          <w:b/>
          <w:color w:val="525866"/>
          <w:sz w:val="22"/>
        </w:rPr>
        <w:t xml:space="preserve">Massive Origination Scale Validates Private Credit Demand: </w:t>
      </w:r>
      <w:r>
        <w:rPr>
          <w:rFonts w:ascii="Calibri" w:hAnsi="Calibri"/>
          <w:color w:val="525866"/>
          <w:sz w:val="22"/>
        </w:rPr>
        <w:t>Apollo Co-President John Zito guided to $300-400B in origination of “excess spread assets” in 2026 (up from $50-75B previously). Apollo has executed over 100 of the 125 high-grade capital solutions deals. This validates the structural shift toward investment-grade private credit that KKR is also pursuing through its ABF platform.</w:t>
      </w:r>
    </w:p>
    <w:p>
      <w:pPr>
        <w:pStyle w:val="ListBullet"/>
        <w:ind w:left="360" w:hanging="360"/>
      </w:pPr>
      <w:r>
        <w:rPr>
          <w:rFonts w:ascii="Calibri" w:hAnsi="Calibri"/>
          <w:b/>
          <w:color w:val="525866"/>
          <w:sz w:val="22"/>
        </w:rPr>
        <w:t xml:space="preserve">Institutional Demand for Direct Lending Improving: </w:t>
      </w:r>
      <w:r>
        <w:rPr>
          <w:rFonts w:ascii="Calibri" w:hAnsi="Calibri"/>
          <w:color w:val="525866"/>
          <w:sz w:val="22"/>
        </w:rPr>
        <w:t>Zito noted institutions are “waiting for spreads to go wider” and remain “underweight” their target allocations for private debt/credit/hybrid. Apollo plans to “launch our third direct lending fund soon.” This is a positive read-through for KKR’s institutional fundraising pipeline.</w:t>
      </w:r>
    </w:p>
    <w:p>
      <w:pPr>
        <w:pStyle w:val="ListBullet"/>
        <w:ind w:left="360" w:hanging="360"/>
      </w:pPr>
      <w:r>
        <w:rPr>
          <w:rFonts w:ascii="Calibri" w:hAnsi="Calibri"/>
          <w:b/>
          <w:color w:val="525866"/>
          <w:sz w:val="22"/>
        </w:rPr>
        <w:t xml:space="preserve">Redemptions Elevated but Structure Sound: </w:t>
      </w:r>
      <w:r>
        <w:rPr>
          <w:rFonts w:ascii="Calibri" w:hAnsi="Calibri"/>
          <w:color w:val="525866"/>
          <w:sz w:val="22"/>
        </w:rPr>
        <w:t>Zito acknowledged “redemptions are high right now” across vehicles but emphasized “there’s been no run, no SVB, no financial institutions failing — the structure is right.” Apollo is pursuing daily pricing in private markets to enhance liquidity and transparency. This is a nuanced read-through for KKR’s K-Series — validates the structural integrity but confirms near-term headwinds.</w:t>
      </w:r>
    </w:p>
    <w:p>
      <w:pPr>
        <w:pStyle w:val="ListBullet"/>
        <w:ind w:left="360" w:hanging="360"/>
      </w:pPr>
      <w:r>
        <w:rPr>
          <w:rFonts w:ascii="Calibri" w:hAnsi="Calibri"/>
          <w:b/>
          <w:color w:val="525866"/>
          <w:sz w:val="22"/>
        </w:rPr>
        <w:t xml:space="preserve">Software Underweight / AI Disruption Risk: </w:t>
      </w:r>
      <w:r>
        <w:rPr>
          <w:rFonts w:ascii="Calibri" w:hAnsi="Calibri"/>
          <w:color w:val="525866"/>
          <w:sz w:val="22"/>
        </w:rPr>
        <w:t>Apollo is “massively underweight software” and questions high valuations. Zito differentiated between “critical infrastructure software” (winners) and “vertical software companies that do analytics or surveys” (losers). This is a cautionary read-through for KKR’s software-exposed portfolio companies, consistent with Blackstone’s commentary on reduced liquidity for enterprise software.</w:t>
      </w:r>
    </w:p>
    <w:p>
      <w:pPr>
        <w:pStyle w:val="ListBullet"/>
        <w:ind w:left="360" w:hanging="360"/>
      </w:pPr>
      <w:r>
        <w:rPr>
          <w:rFonts w:ascii="Calibri" w:hAnsi="Calibri"/>
          <w:b/>
          <w:color w:val="525866"/>
          <w:sz w:val="22"/>
        </w:rPr>
        <w:t xml:space="preserve">Regime Change to “Asset Heavy”: </w:t>
      </w:r>
      <w:r>
        <w:rPr>
          <w:rFonts w:ascii="Calibri" w:hAnsi="Calibri"/>
          <w:color w:val="525866"/>
          <w:sz w:val="22"/>
        </w:rPr>
        <w:t>Zito posited a potential regime shift where “the return is going to shift to capital” and balance sheet heaviness becomes a competitive advantage. This validates KKR’s integrated model (asset management + insurance + strategic holdings) as a structural differentiator.</w:t>
      </w:r>
    </w:p>
    <w:p>
      <w:pPr>
        <w:pStyle w:val="Heading3"/>
      </w:pPr>
      <w:r>
        <w:rPr>
          <w:rFonts w:ascii="Calibri" w:hAnsi="Calibri"/>
          <w:b/>
          <w:color w:val="3B4259"/>
          <w:sz w:val="24"/>
        </w:rPr>
        <w:t>Carlyle Group (CG) — Morgan Stanley Financials Conference (June 10, 2026)</w:t>
      </w:r>
    </w:p>
    <w:p>
      <w:r>
        <w:rPr>
          <w:rFonts w:ascii="Calibri" w:hAnsi="Calibri"/>
          <w:b/>
          <w:color w:val="525866"/>
          <w:sz w:val="22"/>
        </w:rPr>
        <w:t xml:space="preserve">Read-Through: </w:t>
      </w:r>
      <w:r>
        <w:rPr>
          <w:rFonts w:ascii="Calibri" w:hAnsi="Calibri"/>
          <w:color w:val="525866"/>
          <w:sz w:val="22"/>
        </w:rPr>
        <w:t>POSITIVE for the fundraising super-cycle thesis; neutral on near-term monetization.</w:t>
      </w:r>
    </w:p>
    <w:p>
      <w:pPr>
        <w:pStyle w:val="ListBullet"/>
        <w:ind w:left="360" w:hanging="360"/>
      </w:pPr>
      <w:r>
        <w:rPr>
          <w:rFonts w:ascii="Calibri" w:hAnsi="Calibri"/>
          <w:b/>
          <w:color w:val="525866"/>
          <w:sz w:val="22"/>
        </w:rPr>
        <w:t xml:space="preserve">Fundraising Super Cycle Confirmed: </w:t>
      </w:r>
      <w:r>
        <w:rPr>
          <w:rFonts w:ascii="Calibri" w:hAnsi="Calibri"/>
          <w:color w:val="525866"/>
          <w:sz w:val="22"/>
        </w:rPr>
        <w:t>Carlyle CFO Justin Plaehn described 2026-2028 as “a super cycle for fundraising” with all flagship funds in market simultaneously. Carlyle has a record amount of dry powder and is actively deploying. Carlyle’s $200B three-year fundraising target remains on track (“We felt great about that in February. We feel great about it today.”). This validates KKR’s near-record fundraising pace and the broader industry tailwind.</w:t>
      </w:r>
    </w:p>
    <w:p>
      <w:pPr>
        <w:pStyle w:val="ListBullet"/>
        <w:ind w:left="360" w:hanging="360"/>
      </w:pPr>
      <w:r>
        <w:rPr>
          <w:rFonts w:ascii="Calibri" w:hAnsi="Calibri"/>
          <w:b/>
          <w:color w:val="525866"/>
          <w:sz w:val="22"/>
        </w:rPr>
        <w:t xml:space="preserve">Economy Resilient Despite Volatility: </w:t>
      </w:r>
      <w:r>
        <w:rPr>
          <w:rFonts w:ascii="Calibri" w:hAnsi="Calibri"/>
          <w:color w:val="525866"/>
          <w:sz w:val="22"/>
        </w:rPr>
        <w:t>Plaehn noted “it’s actually surprising how resilient the economy has been globally” with portfolio companies “generally still growing” and no “waves of defaults.” This is a positive read-through for KKR’s portfolio credit quality and embedded gains.</w:t>
      </w:r>
    </w:p>
    <w:p>
      <w:pPr>
        <w:pStyle w:val="ListBullet"/>
        <w:ind w:left="360" w:hanging="360"/>
      </w:pPr>
      <w:r>
        <w:rPr>
          <w:rFonts w:ascii="Calibri" w:hAnsi="Calibri"/>
          <w:b/>
          <w:color w:val="525866"/>
          <w:sz w:val="22"/>
        </w:rPr>
        <w:t xml:space="preserve">Monetization Timing Uncertainty: </w:t>
      </w:r>
      <w:r>
        <w:rPr>
          <w:rFonts w:ascii="Calibri" w:hAnsi="Calibri"/>
          <w:color w:val="525866"/>
          <w:sz w:val="22"/>
        </w:rPr>
        <w:t>Carlyle noted CP7 (US buyout fund) is “close to carry” and expected to get there “in the coming quarters,” while CP8 is “too early in the investment cycle.” Carlyle expects realizations in Japan buyout, Europe technology, US real estate, and financial services funds. This is consistent with the industry-wide theme of uneven monetization recovery.</w:t>
      </w:r>
    </w:p>
    <w:p>
      <w:pPr>
        <w:pStyle w:val="ListBullet"/>
        <w:ind w:left="360" w:hanging="360"/>
      </w:pPr>
      <w:r>
        <w:rPr>
          <w:rFonts w:ascii="Calibri" w:hAnsi="Calibri"/>
          <w:b/>
          <w:color w:val="525866"/>
          <w:sz w:val="22"/>
        </w:rPr>
        <w:t xml:space="preserve">Wealth Channel Build Accelerating: </w:t>
      </w:r>
      <w:r>
        <w:rPr>
          <w:rFonts w:ascii="Calibri" w:hAnsi="Calibri"/>
          <w:color w:val="525866"/>
          <w:sz w:val="22"/>
        </w:rPr>
        <w:t>Carlyle has built out private wealth products across all strategies in the last 12 months and is partnering with MCI and Alliancebernstein/Brookfield on retirement-focused products. Wealth inflows projected to increase from 15% to 20% of the $200B target. This validates KKR’s wealth channel build and the broader industry trend.</w:t>
      </w:r>
    </w:p>
    <w:p>
      <w:pPr>
        <w:pStyle w:val="Heading3"/>
      </w:pPr>
      <w:r>
        <w:rPr>
          <w:rFonts w:ascii="Calibri" w:hAnsi="Calibri"/>
          <w:b/>
          <w:color w:val="3B4259"/>
          <w:sz w:val="24"/>
        </w:rPr>
        <w:t>TPG Inc. (TPG) — Morgan Stanley Financials Conference (June 9, 2026)</w:t>
      </w:r>
    </w:p>
    <w:p>
      <w:r>
        <w:rPr>
          <w:rFonts w:ascii="Calibri" w:hAnsi="Calibri"/>
          <w:b/>
          <w:color w:val="525866"/>
          <w:sz w:val="22"/>
        </w:rPr>
        <w:t xml:space="preserve">Read-Through: </w:t>
      </w:r>
      <w:r>
        <w:rPr>
          <w:rFonts w:ascii="Calibri" w:hAnsi="Calibri"/>
          <w:color w:val="525866"/>
          <w:sz w:val="22"/>
        </w:rPr>
        <w:t>POSITIVE for deployment and monetization pipeline; confirms industry-wide fundraising momentum.</w:t>
      </w:r>
    </w:p>
    <w:p>
      <w:pPr>
        <w:pStyle w:val="ListBullet"/>
        <w:ind w:left="360" w:hanging="360"/>
      </w:pPr>
      <w:r>
        <w:rPr>
          <w:rFonts w:ascii="Calibri" w:hAnsi="Calibri"/>
          <w:b/>
          <w:color w:val="525866"/>
          <w:sz w:val="22"/>
        </w:rPr>
        <w:t xml:space="preserve">Monetization Pipeline Building: </w:t>
      </w:r>
      <w:r>
        <w:rPr>
          <w:rFonts w:ascii="Calibri" w:hAnsi="Calibri"/>
          <w:color w:val="525866"/>
          <w:sz w:val="22"/>
        </w:rPr>
        <w:t>TPG President Todd Sisitsky stated the liquidity pipeline “continues to feel like there are opportunities” with “a number of shots on goal” and anticipates “meaningful liquidity in the second half” of 2026. TPG reiterated guidance to exceed $50B in capital raising for 2026 with a pickup in H2. This is a positive read-through for KKR’s record forward monetization pipeline.</w:t>
      </w:r>
    </w:p>
    <w:p>
      <w:pPr>
        <w:pStyle w:val="ListBullet"/>
        <w:ind w:left="360" w:hanging="360"/>
      </w:pPr>
      <w:r>
        <w:rPr>
          <w:rFonts w:ascii="Calibri" w:hAnsi="Calibri"/>
          <w:b/>
          <w:color w:val="525866"/>
          <w:sz w:val="22"/>
        </w:rPr>
        <w:t xml:space="preserve">Portfolio Performing Well: </w:t>
      </w:r>
      <w:r>
        <w:rPr>
          <w:rFonts w:ascii="Calibri" w:hAnsi="Calibri"/>
          <w:color w:val="525866"/>
          <w:sz w:val="22"/>
        </w:rPr>
        <w:t>TPG’s overall portfolio is performing “mid- to high teens in terms of revenue and EBITDA growth,” with software showing “north of 20% bookings growth” in Q1 2026 — “a nice acceleration” partly due to pivoting to benefit from AI. This is a positive read-through for KKR’s portfolio company performance.</w:t>
      </w:r>
    </w:p>
    <w:p>
      <w:pPr>
        <w:pStyle w:val="ListBullet"/>
        <w:ind w:left="360" w:hanging="360"/>
      </w:pPr>
      <w:r>
        <w:rPr>
          <w:rFonts w:ascii="Calibri" w:hAnsi="Calibri"/>
          <w:b/>
          <w:color w:val="525866"/>
          <w:sz w:val="22"/>
        </w:rPr>
        <w:t xml:space="preserve">Private Credit Redemptions Well-Controlled: </w:t>
      </w:r>
      <w:r>
        <w:rPr>
          <w:rFonts w:ascii="Calibri" w:hAnsi="Calibri"/>
          <w:color w:val="525866"/>
          <w:sz w:val="22"/>
        </w:rPr>
        <w:t>TPG’s TCAP (non-traded BDC) reported $181M net inflows with redemptions at 2.1% — “well under the 5% cap.” Portfolio shows 100% credits with covenants, 40% LTV, and “very strong credit results, stable quarter-over-quarter.” This is a positive read-through for KKR’s direct lending portfolio quality.</w:t>
      </w:r>
    </w:p>
    <w:p>
      <w:pPr>
        <w:pStyle w:val="ListBullet"/>
        <w:ind w:left="360" w:hanging="360"/>
      </w:pPr>
      <w:r>
        <w:rPr>
          <w:rFonts w:ascii="Calibri" w:hAnsi="Calibri"/>
          <w:b/>
          <w:color w:val="525866"/>
          <w:sz w:val="22"/>
        </w:rPr>
        <w:t xml:space="preserve">AI as Both Threat and Opportunity: </w:t>
      </w:r>
      <w:r>
        <w:rPr>
          <w:rFonts w:ascii="Calibri" w:hAnsi="Calibri"/>
          <w:color w:val="525866"/>
          <w:sz w:val="22"/>
        </w:rPr>
        <w:t>Sisitsky described AI as “definitely both” a disruptive threat and alpha creation opportunity, with TPG’s recent TPG Capital IX and X portfolios “all in full view of GenAI.” TPG has invested directly in Anthropic, SpaceX, and OpenAI. This validates KKR’s AI investment thesis and the broader digital infrastructure opportunity.</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KKR Read-Through</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AI/Digital Infrastructure Deployment</w:t>
            </w:r>
          </w:p>
        </w:tc>
        <w:tc>
          <w:tcPr>
            <w:tcW w:type="dxa" w:w="2160"/>
          </w:tcPr>
          <w:p>
            <w:r>
              <w:rPr>
                <w:rFonts w:ascii="Calibri" w:hAnsi="Calibri"/>
                <w:sz w:val="22"/>
              </w:rPr>
              <w:t>BX data center platform +$55B in H1 2026; APO guiding $300-400B origination; ARES 1GW under development</w:t>
            </w:r>
          </w:p>
        </w:tc>
        <w:tc>
          <w:tcPr>
            <w:tcW w:type="dxa" w:w="2160"/>
          </w:tcPr>
          <w:p>
            <w:r>
              <w:rPr>
                <w:rFonts w:ascii="Calibri" w:hAnsi="Calibri"/>
                <w:sz w:val="22"/>
              </w:rPr>
              <w:t>Validates KKR’s Helix Digital Infrastructure launch and $2.5-3B/yr deployment pace as a fraction of opportunity</w:t>
            </w:r>
          </w:p>
        </w:tc>
        <w:tc>
          <w:tcPr>
            <w:tcW w:type="dxa" w:w="2160"/>
          </w:tcPr>
          <w:p>
            <w:r>
              <w:rPr>
                <w:rFonts w:ascii="Calibri" w:hAnsi="Calibri"/>
                <w:b/>
                <w:color w:val="30A46C"/>
                <w:sz w:val="22"/>
              </w:rPr>
              <w:t>Positive</w:t>
            </w:r>
          </w:p>
        </w:tc>
      </w:tr>
      <w:tr>
        <w:tc>
          <w:tcPr>
            <w:tcW w:type="dxa" w:w="2160"/>
          </w:tcPr>
          <w:p>
            <w:r>
              <w:rPr>
                <w:rFonts w:ascii="Calibri" w:hAnsi="Calibri"/>
                <w:sz w:val="22"/>
              </w:rPr>
              <w:t>Capital Markets / Transaction Fees</w:t>
            </w:r>
          </w:p>
        </w:tc>
        <w:tc>
          <w:tcPr>
            <w:tcW w:type="dxa" w:w="2160"/>
          </w:tcPr>
          <w:p>
            <w:r>
              <w:rPr>
                <w:rFonts w:ascii="Calibri" w:hAnsi="Calibri"/>
                <w:sz w:val="22"/>
              </w:rPr>
              <w:t>BX transaction fees nearly doubled to record $321M in Q2; IPO market up 6x YoY</w:t>
            </w:r>
          </w:p>
        </w:tc>
        <w:tc>
          <w:tcPr>
            <w:tcW w:type="dxa" w:w="2160"/>
          </w:tcPr>
          <w:p>
            <w:r>
              <w:rPr>
                <w:rFonts w:ascii="Calibri" w:hAnsi="Calibri"/>
                <w:sz w:val="22"/>
              </w:rPr>
              <w:t>Positive read-through for KKR capital markets fees (Q1: $224M); IPO market recovery supports monetization pipeline</w:t>
            </w:r>
          </w:p>
        </w:tc>
        <w:tc>
          <w:tcPr>
            <w:tcW w:type="dxa" w:w="2160"/>
          </w:tcPr>
          <w:p>
            <w:r>
              <w:rPr>
                <w:rFonts w:ascii="Calibri" w:hAnsi="Calibri"/>
                <w:b/>
                <w:color w:val="30A46C"/>
                <w:sz w:val="22"/>
              </w:rPr>
              <w:t>Positive</w:t>
            </w:r>
          </w:p>
        </w:tc>
      </w:tr>
      <w:tr>
        <w:tc>
          <w:tcPr>
            <w:tcW w:type="dxa" w:w="2160"/>
          </w:tcPr>
          <w:p>
            <w:r>
              <w:rPr>
                <w:rFonts w:ascii="Calibri" w:hAnsi="Calibri"/>
                <w:sz w:val="22"/>
              </w:rPr>
              <w:t>Institutional Private Credit Demand</w:t>
            </w:r>
          </w:p>
        </w:tc>
        <w:tc>
          <w:tcPr>
            <w:tcW w:type="dxa" w:w="2160"/>
          </w:tcPr>
          <w:p>
            <w:r>
              <w:rPr>
                <w:rFonts w:ascii="Calibri" w:hAnsi="Calibri"/>
                <w:sz w:val="22"/>
              </w:rPr>
              <w:t>ARES Pathfinder III hit $8.5B hard cap; APO launching 3rd direct lending fund; CG record dry powder</w:t>
            </w:r>
          </w:p>
        </w:tc>
        <w:tc>
          <w:tcPr>
            <w:tcW w:type="dxa" w:w="2160"/>
          </w:tcPr>
          <w:p>
            <w:r>
              <w:rPr>
                <w:rFonts w:ascii="Calibri" w:hAnsi="Calibri"/>
                <w:sz w:val="22"/>
              </w:rPr>
              <w:t>Validates KKR’s institutional inbound interest in direct lending; supports ABF fundraising thesis</w:t>
            </w:r>
          </w:p>
        </w:tc>
        <w:tc>
          <w:tcPr>
            <w:tcW w:type="dxa" w:w="2160"/>
          </w:tcPr>
          <w:p>
            <w:r>
              <w:rPr>
                <w:rFonts w:ascii="Calibri" w:hAnsi="Calibri"/>
                <w:b/>
                <w:color w:val="30A46C"/>
                <w:sz w:val="22"/>
              </w:rPr>
              <w:t>Positive</w:t>
            </w:r>
          </w:p>
        </w:tc>
      </w:tr>
      <w:tr>
        <w:tc>
          <w:tcPr>
            <w:tcW w:type="dxa" w:w="2160"/>
          </w:tcPr>
          <w:p>
            <w:r>
              <w:rPr>
                <w:rFonts w:ascii="Calibri" w:hAnsi="Calibri"/>
                <w:sz w:val="22"/>
              </w:rPr>
              <w:t>Wealth Channel / K-Series Flows</w:t>
            </w:r>
          </w:p>
        </w:tc>
        <w:tc>
          <w:tcPr>
            <w:tcW w:type="dxa" w:w="2160"/>
          </w:tcPr>
          <w:p>
            <w:r>
              <w:rPr>
                <w:rFonts w:ascii="Calibri" w:hAnsi="Calibri"/>
                <w:sz w:val="22"/>
              </w:rPr>
              <w:t>BX BREIT “clearly back in growth mode”; BCRED redemptions “down materially” in Q3; ARES wealth +10% YoY</w:t>
            </w:r>
          </w:p>
        </w:tc>
        <w:tc>
          <w:tcPr>
            <w:tcW w:type="dxa" w:w="2160"/>
          </w:tcPr>
          <w:p>
            <w:r>
              <w:rPr>
                <w:rFonts w:ascii="Calibri" w:hAnsi="Calibri"/>
                <w:sz w:val="22"/>
              </w:rPr>
              <w:t>Suggests Q2 K-Series slowdown (guided by KKR) may be temporary; Q3 recovery likely if BX trend holds</w:t>
            </w:r>
          </w:p>
        </w:tc>
        <w:tc>
          <w:tcPr>
            <w:tcW w:type="dxa" w:w="2160"/>
          </w:tcPr>
          <w:p>
            <w:r>
              <w:rPr>
                <w:rFonts w:ascii="Calibri" w:hAnsi="Calibri"/>
                <w:b/>
                <w:color w:val="30A46C"/>
                <w:sz w:val="22"/>
              </w:rPr>
              <w:t>Positive</w:t>
            </w:r>
          </w:p>
        </w:tc>
      </w:tr>
      <w:tr>
        <w:tc>
          <w:tcPr>
            <w:tcW w:type="dxa" w:w="2160"/>
          </w:tcPr>
          <w:p>
            <w:r>
              <w:rPr>
                <w:rFonts w:ascii="Calibri" w:hAnsi="Calibri"/>
                <w:sz w:val="22"/>
              </w:rPr>
              <w:t>Monetization / Exit Environment</w:t>
            </w:r>
          </w:p>
        </w:tc>
        <w:tc>
          <w:tcPr>
            <w:tcW w:type="dxa" w:w="2160"/>
          </w:tcPr>
          <w:p>
            <w:r>
              <w:rPr>
                <w:rFonts w:ascii="Calibri" w:hAnsi="Calibri"/>
                <w:sz w:val="22"/>
              </w:rPr>
              <w:t>BX: “uneven recovery”; strong for AI/infra, weak for enterprise software; TPG: “meaningful liquidity in H2”</w:t>
            </w:r>
          </w:p>
        </w:tc>
        <w:tc>
          <w:tcPr>
            <w:tcW w:type="dxa" w:w="2160"/>
          </w:tcPr>
          <w:p>
            <w:r>
              <w:rPr>
                <w:rFonts w:ascii="Calibri" w:hAnsi="Calibri"/>
                <w:sz w:val="22"/>
              </w:rPr>
              <w:t>Mixed: KKR’s record pipeline should convert, but software-exposed exits may face buyer caution</w:t>
            </w:r>
          </w:p>
        </w:tc>
        <w:tc>
          <w:tcPr>
            <w:tcW w:type="dxa" w:w="2160"/>
          </w:tcPr>
          <w:p>
            <w:r>
              <w:rPr>
                <w:rFonts w:ascii="Calibri" w:hAnsi="Calibri"/>
                <w:sz w:val="22"/>
              </w:rPr>
              <w:t>Mixed</w:t>
            </w:r>
          </w:p>
        </w:tc>
      </w:tr>
      <w:tr>
        <w:tc>
          <w:tcPr>
            <w:tcW w:type="dxa" w:w="2160"/>
          </w:tcPr>
          <w:p>
            <w:r>
              <w:rPr>
                <w:rFonts w:ascii="Calibri" w:hAnsi="Calibri"/>
                <w:sz w:val="22"/>
              </w:rPr>
              <w:t>Portfolio Credit Quality</w:t>
            </w:r>
          </w:p>
        </w:tc>
        <w:tc>
          <w:tcPr>
            <w:tcW w:type="dxa" w:w="2160"/>
          </w:tcPr>
          <w:p>
            <w:r>
              <w:rPr>
                <w:rFonts w:ascii="Calibri" w:hAnsi="Calibri"/>
                <w:sz w:val="22"/>
              </w:rPr>
              <w:t>ARES: EBITDA +10%, nonaccruals 1.2-2%, LTV ~45%; TPG: TCAP 40% LTV, stable credit; CG: no defaults</w:t>
            </w:r>
          </w:p>
        </w:tc>
        <w:tc>
          <w:tcPr>
            <w:tcW w:type="dxa" w:w="2160"/>
          </w:tcPr>
          <w:p>
            <w:r>
              <w:rPr>
                <w:rFonts w:ascii="Calibri" w:hAnsi="Calibri"/>
                <w:sz w:val="22"/>
              </w:rPr>
              <w:t>Positive read-through for KKR’s direct lending and ABF portfolio quality; no systemic stress signals</w:t>
            </w:r>
          </w:p>
        </w:tc>
        <w:tc>
          <w:tcPr>
            <w:tcW w:type="dxa" w:w="2160"/>
          </w:tcPr>
          <w:p>
            <w:r>
              <w:rPr>
                <w:rFonts w:ascii="Calibri" w:hAnsi="Calibri"/>
                <w:b/>
                <w:color w:val="30A46C"/>
                <w:sz w:val="22"/>
              </w:rPr>
              <w:t>Positive</w:t>
            </w:r>
          </w:p>
        </w:tc>
      </w:tr>
      <w:tr>
        <w:tc>
          <w:tcPr>
            <w:tcW w:type="dxa" w:w="2160"/>
          </w:tcPr>
          <w:p>
            <w:r>
              <w:rPr>
                <w:rFonts w:ascii="Calibri" w:hAnsi="Calibri"/>
                <w:sz w:val="22"/>
              </w:rPr>
              <w:t>Fundraising Super Cycle</w:t>
            </w:r>
          </w:p>
        </w:tc>
        <w:tc>
          <w:tcPr>
            <w:tcW w:type="dxa" w:w="2160"/>
          </w:tcPr>
          <w:p>
            <w:r>
              <w:rPr>
                <w:rFonts w:ascii="Calibri" w:hAnsi="Calibri"/>
                <w:sz w:val="22"/>
              </w:rPr>
              <w:t>CG: “super cycle for fundraising” 2026-2028; TPG: reiterated &gt;$50B 2026 target; BX: institutional drawdown “accelerating”</w:t>
            </w:r>
          </w:p>
        </w:tc>
        <w:tc>
          <w:tcPr>
            <w:tcW w:type="dxa" w:w="2160"/>
          </w:tcPr>
          <w:p>
            <w:r>
              <w:rPr>
                <w:rFonts w:ascii="Calibri" w:hAnsi="Calibri"/>
                <w:sz w:val="22"/>
              </w:rPr>
              <w:t>Validates KKR’s near-record $127B LTM fundraising and confidence in exceeding all-time record</w:t>
            </w:r>
          </w:p>
        </w:tc>
        <w:tc>
          <w:tcPr>
            <w:tcW w:type="dxa" w:w="2160"/>
          </w:tcPr>
          <w:p>
            <w:r>
              <w:rPr>
                <w:rFonts w:ascii="Calibri" w:hAnsi="Calibri"/>
                <w:b/>
                <w:color w:val="30A46C"/>
                <w:sz w:val="22"/>
              </w:rPr>
              <w:t>Positive</w:t>
            </w:r>
          </w:p>
        </w:tc>
      </w:tr>
      <w:tr>
        <w:tc>
          <w:tcPr>
            <w:tcW w:type="dxa" w:w="2160"/>
          </w:tcPr>
          <w:p>
            <w:r>
              <w:rPr>
                <w:rFonts w:ascii="Calibri" w:hAnsi="Calibri"/>
                <w:sz w:val="22"/>
              </w:rPr>
              <w:t>Software / AI Disruption Risk</w:t>
            </w:r>
          </w:p>
        </w:tc>
        <w:tc>
          <w:tcPr>
            <w:tcW w:type="dxa" w:w="2160"/>
          </w:tcPr>
          <w:p>
            <w:r>
              <w:rPr>
                <w:rFonts w:ascii="Calibri" w:hAnsi="Calibri"/>
                <w:sz w:val="22"/>
              </w:rPr>
              <w:t>APO: “massively underweight software”; BX: “less liquidity” for enterprise software exits; ARES: 85% of software loans low-risk</w:t>
            </w:r>
          </w:p>
        </w:tc>
        <w:tc>
          <w:tcPr>
            <w:tcW w:type="dxa" w:w="2160"/>
          </w:tcPr>
          <w:p>
            <w:r>
              <w:rPr>
                <w:rFonts w:ascii="Calibri" w:hAnsi="Calibri"/>
                <w:sz w:val="22"/>
              </w:rPr>
              <w:t>Cautionary for KKR’s software-exposed portfolio; watch for any NAV writedowns or exit delays in software holdings</w:t>
            </w:r>
          </w:p>
        </w:tc>
        <w:tc>
          <w:tcPr>
            <w:tcW w:type="dxa" w:w="2160"/>
          </w:tcPr>
          <w:p>
            <w:r>
              <w:rPr>
                <w:rFonts w:ascii="Calibri" w:hAnsi="Calibri"/>
                <w:b/>
                <w:color w:val="E5484D"/>
                <w:sz w:val="22"/>
              </w:rPr>
              <w:t>Cautionary</w:t>
            </w:r>
          </w:p>
        </w:tc>
      </w:tr>
    </w:tbl>
    <w:p>
      <w:r>
        <w:rPr>
          <w:rFonts w:ascii="Calibri" w:hAnsi="Calibri"/>
          <w:color w:val="525866"/>
          <w:sz w:val="22"/>
        </w:rPr>
        <w:t>Sources: Blackstone Q2 2026 Earnings Call (July 23, 2026); Ares Management Morgan Stanley U.S. Financials Conference (June 10, 2026); Ares Management Goldman Sachs European Financials Conference (June 3, 2026); Apollo Global Management Morgan Stanley U.S. Financials Conference (June 10, 2026); Carlyle Group Morgan Stanley U.S. Financials Conference (June 10, 2026); TPG Morgan Stanley U.S. Financials Conference (June 9, 2026). All commentary reflects Q2 2026 current-quarter conditions or forward-looking trends; prior-quarter retrospective commentary excluded per user instruction.</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