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lac-earnings-predictions--2026-07-28"/>
    <w:p>
      <w:pPr>
        <w:pStyle w:val="Heading1"/>
      </w:pPr>
      <w:r>
        <w:t xml:space="preserve">KLAC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(FQ4'26, June qtr)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3.66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3.60B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(FQ4'26)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10.20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9.90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gross margin (FQ4'26)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~62.1% vs. cons 61.75%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guide (FQ1'27, Sept qtr)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3.85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3.75B (Sept-2026 qtr)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EPS guide (FQ1'27)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10.60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10.30 (Sept-2026 qtr)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CY2027 growth framework (WFE/KLA yoy)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~'higher than CY26 high-teens' (i.e. &gt;18%) vs. cons ~15% (CY2027)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CY2026 gross-margin anchor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~62% ±50bp vs. cons ~62% (CY2026)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Advanced-packaging process-control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1.05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1.0B (CY2026)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+4.5% (FOLLOW-THROUGH)</w:t>
            </w:r>
          </w:p>
        </w:tc>
        <w:tc>
          <w:tcPr/>
          <w:p>
            <w:pPr>
              <w:pStyle w:val="Compact"/>
            </w:pPr>
            <w:r>
              <w:t xml:space="preserve">Base case is a beat-and-raise into a stock that already gave back ~a third from its June-30 ($301.71) peak to $203.40, so positioning is de-risked. If the Sept-quarter guide confirms back-half CY26 acceleration and management reiterates/quantifies '2027 &gt; 2026' plus another advanced-packaging up-revision, out-period estimates get revised UP, supporting follow-through. Risk is the nervous AI-capex/China-indigenization tape (TXN-style 'sell the beat'); given extreme realized vol (implied move ~8-10%) both magnitude and direction are low-confidence, and any hedged 2027/China language would flip this to a fade.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2026-07-28T01:21:46Z</dcterms:created>
  <dcterms:modified xsi:type="dcterms:W3CDTF">2026-07-28T01:21:46Z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