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KLAC thoroughly before writing the preview. Let me start by gathering recent earnings materials, guidance, and news.The stock has been extremely volatile — let me dig into the most recent quarter's results, guidance, and management commentary.Let me get recent news context, including the sharp July pullback and any peer/macro developments.I now have what I need. Let me write the preview.</w:t>
      </w:r>
    </w:p>
    <w:p>
      <w:r>
        <w:pict>
          <v:rect style="width:0;height:1.5pt" o:hralign="center" o:hrstd="t" o:hr="t"/>
        </w:pict>
      </w:r>
    </w:p>
    <w:bookmarkStart w:id="20" w:name="kla-corporation-klac--earnings-preview"/>
    <w:p>
      <w:pPr>
        <w:pStyle w:val="Heading1"/>
      </w:pPr>
      <w:r>
        <w:t xml:space="preserve">KLA Corporation (KLAC) — Earnings Preview</w:t>
      </w:r>
    </w:p>
    <w:bookmarkStart w:id="9" w:name="Xbe901066d0890de54822c59a996c309301a251f"/>
    <w:p>
      <w:pPr>
        <w:pStyle w:val="Heading3"/>
      </w:pPr>
      <w:r>
        <w:t xml:space="preserve">Fiscal Q4 2026 (June quarter) — Reporting Tuesday, July 28, 2026 (after close)</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KLA reports into a market that has fallen wildly in and out of love with it in the span of eight weeks. The stock was on pace for its best month in almost 40 years at the end of June, up around 150% this year—the most since 1999, with the rally reflecting South Korea's over</w:t>
      </w:r>
      <w:r>
        <w:t xml:space="preserve"> </w:t>
      </w:r>
      <m:oMath>
        <m:r>
          <m:t>500</m:t>
        </m:r>
        <m:r>
          <m:t>b</m:t>
        </m:r>
        <m:r>
          <m:t>i</m:t>
        </m:r>
        <m:r>
          <m:t>l</m:t>
        </m:r>
        <m:r>
          <m:t>l</m:t>
        </m:r>
        <m:r>
          <m:t>i</m:t>
        </m:r>
        <m:r>
          <m:t>o</m:t>
        </m:r>
        <m:r>
          <m:t>n</m:t>
        </m:r>
        <m:r>
          <m:t>i</m:t>
        </m:r>
        <m:r>
          <m:t>n</m:t>
        </m:r>
        <m:r>
          <m:t>v</m:t>
        </m:r>
        <m:r>
          <m:t>e</m:t>
        </m:r>
        <m:r>
          <m:t>s</m:t>
        </m:r>
        <m:r>
          <m:t>t</m:t>
        </m:r>
        <m:r>
          <m:t>m</m:t>
        </m:r>
        <m:r>
          <m:t>e</m:t>
        </m:r>
        <m:r>
          <m:t>n</m:t>
        </m:r>
        <m:r>
          <m:t>t</m:t>
        </m:r>
        <m:r>
          <m:t>i</m:t>
        </m:r>
        <m:r>
          <m:t>n</m:t>
        </m:r>
        <m:r>
          <m:t>A</m:t>
        </m:r>
        <m:r>
          <m:t>I</m:t>
        </m:r>
        <m:r>
          <m:t>c</m:t>
        </m:r>
        <m:r>
          <m:t>h</m:t>
        </m:r>
        <m:r>
          <m:t>i</m:t>
        </m:r>
        <m:r>
          <m:t>p</m:t>
        </m:r>
        <m:r>
          <m:t>p</m:t>
        </m:r>
        <m:r>
          <m:t>r</m:t>
        </m:r>
        <m:r>
          <m:t>o</m:t>
        </m:r>
        <m:r>
          <m:t>d</m:t>
        </m:r>
        <m:r>
          <m:t>u</m:t>
        </m:r>
        <m:r>
          <m:t>c</m:t>
        </m:r>
        <m:r>
          <m:t>t</m:t>
        </m:r>
        <m:r>
          <m:t>i</m:t>
        </m:r>
        <m:r>
          <m:t>o</m:t>
        </m:r>
        <m:r>
          <m:t>n</m:t>
        </m:r>
        <m:r>
          <m:t>a</m:t>
        </m:r>
        <m:r>
          <m:t>n</m:t>
        </m:r>
        <m:r>
          <m:t>d</m:t>
        </m:r>
        <m:r>
          <m:t>p</m:t>
        </m:r>
        <m:r>
          <m:t>l</m:t>
        </m:r>
        <m:r>
          <m:t>a</m:t>
        </m:r>
        <m:r>
          <m:t>n</m:t>
        </m:r>
        <m:r>
          <m:t>s</m:t>
        </m:r>
        <m:r>
          <m:t>b</m:t>
        </m:r>
        <m:r>
          <m:t>y</m:t>
        </m:r>
        <m:r>
          <m:t>S</m:t>
        </m:r>
        <m:r>
          <m:t>a</m:t>
        </m:r>
        <m:r>
          <m:t>m</m:t>
        </m:r>
        <m:r>
          <m:t>s</m:t>
        </m:r>
        <m:r>
          <m:t>u</m:t>
        </m:r>
        <m:r>
          <m:t>n</m:t>
        </m:r>
        <m:r>
          <m:t>g</m:t>
        </m:r>
        <m:r>
          <m:t>a</m:t>
        </m:r>
        <m:r>
          <m:t>n</m:t>
        </m:r>
        <m:r>
          <m:t>d</m:t>
        </m:r>
        <m:r>
          <m:t>S</m:t>
        </m:r>
        <m:r>
          <m:t>K</m:t>
        </m:r>
        <m:r>
          <m:t>H</m:t>
        </m:r>
        <m:r>
          <m:t>y</m:t>
        </m:r>
        <m:r>
          <m:t>n</m:t>
        </m:r>
        <m:r>
          <m:t>i</m:t>
        </m:r>
        <m:r>
          <m:t>x</m:t>
        </m:r>
        <m:r>
          <m:t>t</m:t>
        </m:r>
        <m:r>
          <m:t>o</m:t>
        </m:r>
        <m:r>
          <m:t>b</m:t>
        </m:r>
        <m:r>
          <m:t>u</m:t>
        </m:r>
        <m:r>
          <m:t>i</m:t>
        </m:r>
        <m:r>
          <m:t>l</m:t>
        </m:r>
        <m:r>
          <m:t>d</m:t>
        </m:r>
        <m:r>
          <m:t>c</m:t>
        </m:r>
        <m:r>
          <m:t>h</m:t>
        </m:r>
        <m:r>
          <m:t>i</m:t>
        </m:r>
        <m:r>
          <m:t>p</m:t>
        </m:r>
        <m:r>
          <m:t>p</m:t>
        </m:r>
        <m:r>
          <m:t>l</m:t>
        </m:r>
        <m:r>
          <m:t>a</m:t>
        </m:r>
        <m:r>
          <m:t>n</m:t>
        </m:r>
        <m:r>
          <m:t>t</m:t>
        </m:r>
        <m:r>
          <m:t>s</m:t>
        </m:r>
        <m:r>
          <m:rPr>
            <m:sty m:val="p"/>
          </m:rPr>
          <m:t>.</m:t>
        </m:r>
        <m:r>
          <m:t>S</m:t>
        </m:r>
        <m:r>
          <m:t>i</m:t>
        </m:r>
        <m:r>
          <m:t>n</m:t>
        </m:r>
        <m:r>
          <m:t>c</m:t>
        </m:r>
        <m:r>
          <m:t>e</m:t>
        </m:r>
        <m:r>
          <m:t>t</m:t>
        </m:r>
        <m:r>
          <m:t>h</m:t>
        </m:r>
        <m:r>
          <m:t>a</m:t>
        </m:r>
        <m:r>
          <m:t>t</m:t>
        </m:r>
        <m:r>
          <m:t>J</m:t>
        </m:r>
        <m:r>
          <m:t>u</m:t>
        </m:r>
        <m:r>
          <m:t>n</m:t>
        </m:r>
        <m:r>
          <m:t>e</m:t>
        </m:r>
        <m:r>
          <m:t>30</m:t>
        </m:r>
        <m:r>
          <m:t>p</m:t>
        </m:r>
        <m:r>
          <m:t>e</m:t>
        </m:r>
        <m:r>
          <m:t>a</m:t>
        </m:r>
        <m:r>
          <m:t>k</m:t>
        </m:r>
        <m:r>
          <m:rPr>
            <m:sty m:val="p"/>
          </m:rPr>
          <m:t>(</m:t>
        </m:r>
        <m:r>
          <m:t> </m:t>
        </m:r>
      </m:oMath>
      <w:r>
        <w:t xml:space="preserve">302), the shares have retraced roughly a third, closing at</w:t>
      </w:r>
      <w:r>
        <w:t xml:space="preserve"> </w:t>
      </w:r>
      <w:r>
        <w:rPr>
          <w:b/>
          <w:bCs/>
        </w:rPr>
        <w:t xml:space="preserve">$203.40 on July 27</w:t>
      </w:r>
      <w:r>
        <w:t xml:space="preserve">. The print itself should be a formality — the real event is what management says about</w:t>
      </w:r>
      <w:r>
        <w:t xml:space="preserve"> </w:t>
      </w:r>
      <w:r>
        <w:rPr>
          <w:b/>
          <w:bCs/>
        </w:rPr>
        <w:t xml:space="preserve">calendar 2027</w:t>
      </w:r>
      <w:r>
        <w:t xml:space="preserve">, and whether the sudden late-July "China self-sufficiency" scare has any teeth.</w:t>
      </w:r>
    </w:p>
    <w:p>
      <w:r>
        <w:pict>
          <v:rect style="width:0;height:1.5pt" o:hralign="center" o:hrstd="t" o:hr="t"/>
        </w:pict>
      </w:r>
    </w:p>
    <w:bookmarkEnd w:id="10"/>
    <w:bookmarkStart w:id="11" w:name="what-the-quarter-itself-should-look-like"/>
    <w:p>
      <w:pPr>
        <w:pStyle w:val="Heading2"/>
      </w:pPr>
      <w:r>
        <w:t xml:space="preserve">What the quarter itself should look like</w:t>
      </w:r>
    </w:p>
    <w:p>
      <w:pPr>
        <w:pStyle w:val="FirstParagraph"/>
      </w:pPr>
      <w:r>
        <w:t xml:space="preserve">The June quarter is essentially pre-announced by guidance. Management guided FQ4 to:</w:t>
      </w:r>
    </w:p>
    <w:p>
      <w:pPr>
        <w:pStyle w:val="Compact"/>
        <w:numPr>
          <w:ilvl w:val="0"/>
          <w:numId w:val="1001"/>
        </w:numPr>
      </w:pPr>
      <w:r>
        <w:t xml:space="preserve">Revenue of $3.575 billion, plus or minus $200 million.</w:t>
      </w:r>
    </w:p>
    <w:p>
      <w:pPr>
        <w:pStyle w:val="Compact"/>
        <w:numPr>
          <w:ilvl w:val="0"/>
          <w:numId w:val="1001"/>
        </w:numPr>
      </w:pPr>
      <w:r>
        <w:t xml:space="preserve">Gross margin forecasted to be 61.75% plus or minus 1 percentage point, with product mix modestly weaker than the March quarter and the persistent impact of elevated DRAM chip costs for image processing computers creating a headwind.</w:t>
      </w:r>
    </w:p>
    <w:p>
      <w:pPr>
        <w:pStyle w:val="Compact"/>
        <w:numPr>
          <w:ilvl w:val="0"/>
          <w:numId w:val="1001"/>
        </w:numPr>
      </w:pPr>
      <w:r>
        <w:t xml:space="preserve">Non-GAAP diluted EPS expected to be $9.87, plus or minus $1, GAAP diluted EPS of $9.66, plus or minus $1, on approximately 131.4 million shares.</w:t>
      </w:r>
    </w:p>
    <w:p>
      <w:pPr>
        <w:pStyle w:val="FirstParagraph"/>
      </w:pPr>
      <w:r>
        <w:t xml:space="preserve">Street is essentially sitting on the guide. KLAC is scheduled to report fourth-quarter earnings on July 28 after the close, with sentiment very bullish, and Street expectations for FQ4 include sales growth of +13.5% to</w:t>
      </w:r>
      <w:r>
        <w:t xml:space="preserve"> </w:t>
      </w:r>
      <m:oMath>
        <m:r>
          <m:t>3.6</m:t>
        </m:r>
        <m:r>
          <m:t>B</m:t>
        </m:r>
        <m:r>
          <m:t>w</m:t>
        </m:r>
        <m:r>
          <m:t>i</m:t>
        </m:r>
        <m:r>
          <m:t>t</m:t>
        </m:r>
        <m:r>
          <m:t>h</m:t>
        </m:r>
        <m:r>
          <m:t>g</m:t>
        </m:r>
        <m:r>
          <m:t>r</m:t>
        </m:r>
        <m:r>
          <m:t>o</m:t>
        </m:r>
        <m:r>
          <m:t>s</m:t>
        </m:r>
        <m:r>
          <m:t>s</m:t>
        </m:r>
        <m:r>
          <m:t>m</m:t>
        </m:r>
        <m:r>
          <m:t>a</m:t>
        </m:r>
        <m:r>
          <m:t>r</m:t>
        </m:r>
        <m:r>
          <m:t>g</m:t>
        </m:r>
        <m:r>
          <m:t>i</m:t>
        </m:r>
        <m:r>
          <m:t>n</m:t>
        </m:r>
        <m:r>
          <m:t>s</m:t>
        </m:r>
        <m:r>
          <m:t>o</m:t>
        </m:r>
        <m:r>
          <m:t>f</m:t>
        </m:r>
        <m:r>
          <m:t>61.75</m:t>
        </m:r>
      </m:oMath>
      <w:r>
        <w:t xml:space="preserve">1.00 EPS" figure is garbled — consensus tracks the ~$9.90 guide.)</w:t>
      </w:r>
    </w:p>
    <w:p>
      <w:pPr>
        <w:pStyle w:val="BodyText"/>
      </w:pPr>
      <w:r>
        <w:t xml:space="preserve">For context, KLA has been beating and raising all year. Last quarter: revenue of $3.415 billion, up 4% sequentially and 11% year-over-year, above the guidance midpoint of $3.35 billion, with non-GAAP diluted EPS of $9.40, both above the midpoints. Gross margin was 62.2%, 45 basis points above the midpoint of guidance. A midpoint print + modest raise is the base case; the bar, given the run, is arguably a</w:t>
      </w:r>
      <w:r>
        <w:t xml:space="preserve"> </w:t>
      </w:r>
      <w:r>
        <w:rPr>
          <w:i/>
          <w:iCs/>
        </w:rPr>
        <w:t xml:space="preserve">beat-and-raise with an emphatic 2027 message</w:t>
      </w:r>
      <w:r>
        <w:t xml:space="preserve">.</w:t>
      </w:r>
    </w:p>
    <w:p>
      <w:r>
        <w:pict>
          <v:rect style="width:0;height:1.5pt" o:hralign="center" o:hrstd="t" o:hr="t"/>
        </w:pict>
      </w:r>
    </w:p>
    <w:bookmarkEnd w:id="11"/>
    <w:bookmarkStart w:id="12" w:name="X99f9d792ccfe7244c2fe228991a63aaba1e4e82"/>
    <w:p>
      <w:pPr>
        <w:pStyle w:val="Heading2"/>
      </w:pPr>
      <w:r>
        <w:t xml:space="preserve">The thing that actually matters: the calendar-2026 exit rate and 2027</w:t>
      </w:r>
    </w:p>
    <w:p>
      <w:pPr>
        <w:pStyle w:val="FirstParagraph"/>
      </w:pPr>
      <w:r>
        <w:t xml:space="preserve">Management has repeatedly framed the business around calendar years, and the tone last quarter was the most bullish in memory:</w:t>
      </w:r>
    </w:p>
    <w:p>
      <w:pPr>
        <w:pStyle w:val="Compact"/>
        <w:numPr>
          <w:ilvl w:val="0"/>
          <w:numId w:val="1002"/>
        </w:numPr>
      </w:pPr>
      <w:r>
        <w:t xml:space="preserve">KLA expects the wafer equipment market, including advanced packaging, to exceed $140 billion in 2026, and the strength of demand and customer engagement has led to unprecedented demand visibility.</w:t>
      </w:r>
    </w:p>
    <w:p>
      <w:pPr>
        <w:pStyle w:val="Compact"/>
        <w:numPr>
          <w:ilvl w:val="0"/>
          <w:numId w:val="1002"/>
        </w:numPr>
      </w:pPr>
      <w:r>
        <w:t xml:space="preserve">For 2026, KLA expects sequential revenue growth to accelerate, leading to high-teens revenue growth year-over-year, with the semiconductor process control systems business growing over 20%.</w:t>
      </w:r>
    </w:p>
    <w:p>
      <w:pPr>
        <w:pStyle w:val="Compact"/>
        <w:numPr>
          <w:ilvl w:val="0"/>
          <w:numId w:val="1002"/>
        </w:numPr>
      </w:pPr>
      <w:r>
        <w:t xml:space="preserve">Crucially, on 2027: management said the demand environment gives confidence in 2027 visibility, and today expects the 2027 year-over-year growth rate to be higher than the growth rate expectation for 2026.</w:t>
      </w:r>
    </w:p>
    <w:p>
      <w:pPr>
        <w:pStyle w:val="FirstParagraph"/>
      </w:pPr>
      <w:r>
        <w:t xml:space="preserve">The framing math investors are working with: high-teens growth gets calendar 2026 revenue into the ~$15 billion range, with roughly 15%–20% second-half-over-first-half growth. Watch whether the exit rate (September-quarter guide) confirms that back-half acceleration.</w:t>
      </w:r>
    </w:p>
    <w:p>
      <w:pPr>
        <w:pStyle w:val="BodyText"/>
      </w:pPr>
      <w:r>
        <w:t xml:space="preserve">CEO Rick Wallace's demand commentary was unusually forceful, and worth re-reading given the current "AI capex durability" debate: even with very aggressive plans through 2026 and 2027, customers are not going to close the gap, and in some cases the gap has expanded — so you cannot draw a straight line from hyperscaler capex to WFE because the industry is way underserving that demand. He also pushed back directly on the idea that a soft hyperscaler capex quarter matters near-term, arguing the constraint is physical fab capacity, not order intent.</w:t>
      </w:r>
    </w:p>
    <w:p>
      <w:pPr>
        <w:pStyle w:val="BodyText"/>
      </w:pPr>
      <w:r>
        <w:rPr>
          <w:b/>
          <w:bCs/>
        </w:rPr>
        <w:t xml:space="preserve">Key question for the call:</w:t>
      </w:r>
      <w:r>
        <w:t xml:space="preserve"> </w:t>
      </w:r>
      <w:r>
        <w:t xml:space="preserve">Do they put a</w:t>
      </w:r>
      <w:r>
        <w:t xml:space="preserve"> </w:t>
      </w:r>
      <w:r>
        <w:rPr>
          <w:i/>
          <w:iCs/>
        </w:rPr>
        <w:t xml:space="preserve">number</w:t>
      </w:r>
      <w:r>
        <w:t xml:space="preserve"> </w:t>
      </w:r>
      <w:r>
        <w:t xml:space="preserve">on 2027 WFE/KLA growth, or hold at "higher than 2026"? A hard framework here is the single biggest potential catalyst.</w:t>
      </w:r>
    </w:p>
    <w:p>
      <w:r>
        <w:pict>
          <v:rect style="width:0;height:1.5pt" o:hralign="center" o:hrstd="t" o:hr="t"/>
        </w:pict>
      </w:r>
    </w:p>
    <w:bookmarkEnd w:id="12"/>
    <w:bookmarkStart w:id="13" w:name="X9c3862efa3218a914cba4331ddc65fed23fcb97"/>
    <w:p>
      <w:pPr>
        <w:pStyle w:val="Heading2"/>
      </w:pPr>
      <w:r>
        <w:t xml:space="preserve">Advanced packaging — the fastest-growing narrative</w:t>
      </w:r>
    </w:p>
    <w:p>
      <w:pPr>
        <w:pStyle w:val="FirstParagraph"/>
      </w:pPr>
      <w:r>
        <w:t xml:space="preserve">This is the segment that keeps getting revised up, and it's directly levered to HBM/AI:</w:t>
      </w:r>
    </w:p>
    <w:p>
      <w:pPr>
        <w:pStyle w:val="Compact"/>
        <w:numPr>
          <w:ilvl w:val="0"/>
          <w:numId w:val="1003"/>
        </w:numPr>
      </w:pPr>
      <w:r>
        <w:t xml:space="preserve">KLA now expects semiconductor process control revenue for advanced packaging to grow from approximately $635 million in 2025 to approximately $1 billion in 2026, well above prior estimates.</w:t>
      </w:r>
    </w:p>
    <w:p>
      <w:pPr>
        <w:pStyle w:val="Compact"/>
        <w:numPr>
          <w:ilvl w:val="0"/>
          <w:numId w:val="1003"/>
        </w:numPr>
      </w:pPr>
      <w:r>
        <w:t xml:space="preserve">KLA increased advanced wafer-level packaging market share by 14 percentage points and achieved approximately 70% year-over-year revenue growth, taking the #1 position.</w:t>
      </w:r>
    </w:p>
    <w:p>
      <w:pPr>
        <w:pStyle w:val="Compact"/>
        <w:numPr>
          <w:ilvl w:val="0"/>
          <w:numId w:val="1003"/>
        </w:numPr>
      </w:pPr>
      <w:r>
        <w:t xml:space="preserve">The revision has been rapid — a quarter ago they thought advanced packaging process control growth was somewhere in excess of 30%; it is now in the upper-50% range, with more of a second-half dynamic.</w:t>
      </w:r>
    </w:p>
    <w:p>
      <w:pPr>
        <w:pStyle w:val="FirstParagraph"/>
      </w:pPr>
      <w:r>
        <w:t xml:space="preserve">Given CoWoS/SoIC and hybrid-bonding demand, another upward revision here would be a positive surprise.</w:t>
      </w:r>
    </w:p>
    <w:p>
      <w:r>
        <w:pict>
          <v:rect style="width:0;height:1.5pt" o:hralign="center" o:hrstd="t" o:hr="t"/>
        </w:pict>
      </w:r>
    </w:p>
    <w:bookmarkEnd w:id="13"/>
    <w:bookmarkStart w:id="14" w:name="X670e9e277a7c89af973fbb5c581037b5d3ce4f9"/>
    <w:p>
      <w:pPr>
        <w:pStyle w:val="Heading2"/>
      </w:pPr>
      <w:r>
        <w:t xml:space="preserve">Gross margin — the one clear fundamental overhang</w:t>
      </w:r>
    </w:p>
    <w:p>
      <w:pPr>
        <w:pStyle w:val="FirstParagraph"/>
      </w:pPr>
      <w:r>
        <w:t xml:space="preserve">The margin story is a tug-of-war between volume/scale (positive) and memory-input costs + tariffs (negative):</w:t>
      </w:r>
    </w:p>
    <w:p>
      <w:pPr>
        <w:pStyle w:val="Compact"/>
        <w:numPr>
          <w:ilvl w:val="0"/>
          <w:numId w:val="1004"/>
        </w:numPr>
      </w:pPr>
      <w:r>
        <w:t xml:space="preserve">KLA's view of elevated memory pricing persisting through at least calendar 2026 is unchanged, with a roughly 100 basis point negative impact on gross margin over the next several quarters.</w:t>
      </w:r>
    </w:p>
    <w:p>
      <w:pPr>
        <w:pStyle w:val="Compact"/>
        <w:numPr>
          <w:ilvl w:val="0"/>
          <w:numId w:val="1004"/>
        </w:numPr>
      </w:pPr>
      <w:r>
        <w:t xml:space="preserve">Management noted the memory pricing headwind is, on the margin, worse — moving from a 75–100bp estimate to 100bp — partly due to DDR4 vs. DDR5 pricing.</w:t>
      </w:r>
    </w:p>
    <w:p>
      <w:pPr>
        <w:pStyle w:val="Compact"/>
        <w:numPr>
          <w:ilvl w:val="0"/>
          <w:numId w:val="1004"/>
        </w:numPr>
      </w:pPr>
      <w:r>
        <w:t xml:space="preserve">On tariffs: a 50–100bp overall impact, running at the middle-to-higher end today, expected to come down toward the lower end through the year.</w:t>
      </w:r>
    </w:p>
    <w:p>
      <w:pPr>
        <w:pStyle w:val="Compact"/>
        <w:numPr>
          <w:ilvl w:val="0"/>
          <w:numId w:val="1004"/>
        </w:numPr>
      </w:pPr>
      <w:r>
        <w:t xml:space="preserve">Net view held: gross margins remain approximately 62%, plus or minus 50 basis points, in calendar 2026.</w:t>
      </w:r>
    </w:p>
    <w:p>
      <w:pPr>
        <w:pStyle w:val="FirstParagraph"/>
      </w:pPr>
      <w:r>
        <w:t xml:space="preserve">Ironically, the very memory shortage driving KLA's revenue is also inflating its input costs. Note the reassurance that supply is locked: management feels very good about the supply situation to support build plans through next year. Watch for any change to the ~62% CY26 anchor.</w:t>
      </w:r>
    </w:p>
    <w:p>
      <w:r>
        <w:pict>
          <v:rect style="width:0;height:1.5pt" o:hralign="center" o:hrstd="t" o:hr="t"/>
        </w:pict>
      </w:r>
    </w:p>
    <w:bookmarkEnd w:id="14"/>
    <w:bookmarkStart w:id="15" w:name="china--the-fresh-timely-risk-to-probe"/>
    <w:p>
      <w:pPr>
        <w:pStyle w:val="Heading2"/>
      </w:pPr>
      <w:r>
        <w:t xml:space="preserve">China — the fresh, timely risk to probe</w:t>
      </w:r>
    </w:p>
    <w:p>
      <w:pPr>
        <w:pStyle w:val="FirstParagraph"/>
      </w:pPr>
      <w:r>
        <w:t xml:space="preserve">The late-July selloff wasn't KLA-specific; it was a sector re-rate on China indigenization fears. Chip stocks reversed sharply lower following a massive Chinese IPO and a report that a state-backed Chinese company has started mass producing chip-making machines, with ASML falling 6–8% after Bloomberg reported the Chinese immersion DUV production capability. Separately, memory-maker CXMT completed a nearly $10 billion IPO — the biggest mainland listing in years — after a first-half net income increase of more than 2,200% driven by surging chip prices, while avoiding the stricter U.S. Commerce Department entity list and preserving access to U.S. technology.</w:t>
      </w:r>
    </w:p>
    <w:p>
      <w:pPr>
        <w:pStyle w:val="BodyText"/>
      </w:pPr>
      <w:r>
        <w:t xml:space="preserve">KLA's own China framing has been consistently measured: overall spending in China has been fairly flat over the last few years, and KLA expects the China growth rate to be lower than the overall WFE growth rate going forward, with leading-edge driving the business. On the Hua Hong export restriction: management said the impact on Q2 guidance and 2026 commentary is fairly immaterial and already contemplated in guidance. Expect a pointed analyst question on whether Chinese DUV/CXMT progress changes the long-term China revenue trajectory; a confident, "no near-term impact" answer is the bull case, any hedging is the risk.</w:t>
      </w:r>
    </w:p>
    <w:p>
      <w:r>
        <w:pict>
          <v:rect style="width:0;height:1.5pt" o:hralign="center" o:hrstd="t" o:hr="t"/>
        </w:pict>
      </w:r>
    </w:p>
    <w:bookmarkEnd w:id="15"/>
    <w:bookmarkStart w:id="16" w:name="capital-returns--the-durability-anchor"/>
    <w:p>
      <w:pPr>
        <w:pStyle w:val="Heading2"/>
      </w:pPr>
      <w:r>
        <w:t xml:space="preserve">Capital returns — the durability anchor</w:t>
      </w:r>
    </w:p>
    <w:p>
      <w:pPr>
        <w:pStyle w:val="FirstParagraph"/>
      </w:pPr>
      <w:r>
        <w:t xml:space="preserve">KLA's model throws off cash and returns nearly all of it: quarterly free cash flow was $622 million and trailing-twelve-month free cash flow was $4 billion, a 31% free cash flow margin. Total capital returned in the March quarter was</w:t>
      </w:r>
      <w:r>
        <w:t xml:space="preserve"> </w:t>
      </w:r>
      <m:oMath>
        <m:r>
          <m:t>875</m:t>
        </m:r>
        <m:r>
          <m:t>m</m:t>
        </m:r>
        <m:r>
          <m:t>i</m:t>
        </m:r>
        <m:r>
          <m:t>l</m:t>
        </m:r>
        <m:r>
          <m:t>l</m:t>
        </m:r>
        <m:r>
          <m:t>i</m:t>
        </m:r>
        <m:r>
          <m:t>o</m:t>
        </m:r>
        <m:r>
          <m:t>n</m:t>
        </m:r>
        <m:r>
          <m:rPr>
            <m:sty m:val="p"/>
          </m:rPr>
          <m:t>(</m:t>
        </m:r>
      </m:oMath>
      <w:r>
        <w:t xml:space="preserve">626M buybacks, $249M dividends), and $3.2 billion over the trailing twelve months. At the March Investor Day, KLA announced its 17th consecutive quarterly dividend increase and an incremental $7 billion repurchase authorization, and raised its capital allocation target to over 90% of free cash flow. The dividend steps up to $2.30 per share beginning with the dividend expected to be declared in May 2026.</w:t>
      </w:r>
    </w:p>
    <w:p>
      <w:pPr>
        <w:pStyle w:val="BodyText"/>
      </w:pPr>
      <w:r>
        <w:t xml:space="preserve">The long-term model to hold management to: a revised 13%–17% revenue CAGR objective through 2030, assuming a baseline semiconductor industry growth CAGR of 11% and the wafer equipment market growing to $215 billion +/- $20 billion by 2030.</w:t>
      </w:r>
    </w:p>
    <w:p>
      <w:r>
        <w:pict>
          <v:rect style="width:0;height:1.5pt" o:hralign="center" o:hrstd="t" o:hr="t"/>
        </w:pict>
      </w:r>
    </w:p>
    <w:bookmarkEnd w:id="16"/>
    <w:bookmarkStart w:id="17" w:name="sentiment-positioning-and-the-high-bar"/>
    <w:p>
      <w:pPr>
        <w:pStyle w:val="Heading2"/>
      </w:pPr>
      <w:r>
        <w:t xml:space="preserve">Sentiment, positioning, and the "high bar"</w:t>
      </w:r>
    </w:p>
    <w:p>
      <w:pPr>
        <w:pStyle w:val="Compact"/>
        <w:numPr>
          <w:ilvl w:val="0"/>
          <w:numId w:val="1005"/>
        </w:numPr>
      </w:pPr>
      <w:r>
        <w:rPr>
          <w:b/>
          <w:bCs/>
        </w:rPr>
        <w:t xml:space="preserve">Setup is stretched both ways.</w:t>
      </w:r>
      <w:r>
        <w:t xml:space="preserve"> </w:t>
      </w:r>
      <w:r>
        <w:t xml:space="preserve">Sentiment is very bullish as investors anticipate the ongoing AI boom driving years of aggressive chip manufacturing capacity expansion, although this setup creates a very high bar for results. The ~33% pullback from the June peak has taken some froth off, but the stock is still up meaningfully YTD.</w:t>
      </w:r>
    </w:p>
    <w:p>
      <w:pPr>
        <w:pStyle w:val="Compact"/>
        <w:numPr>
          <w:ilvl w:val="0"/>
          <w:numId w:val="1005"/>
        </w:numPr>
      </w:pPr>
      <w:r>
        <w:rPr>
          <w:b/>
          <w:bCs/>
        </w:rPr>
        <w:t xml:space="preserve">Insider sales are routine, not a signal.</w:t>
      </w:r>
      <w:r>
        <w:t xml:space="preserve"> </w:t>
      </w:r>
      <w:r>
        <w:t xml:space="preserve">The early-July Form 4s were mechanical — e.g., CFO Bren Higgins's ~$7.4M sale was to cover tax withholding on vesting RSUs, a mandatory, non-discretionary transaction.</w:t>
      </w:r>
    </w:p>
    <w:p>
      <w:pPr>
        <w:pStyle w:val="Compact"/>
        <w:numPr>
          <w:ilvl w:val="0"/>
          <w:numId w:val="1005"/>
        </w:numPr>
      </w:pPr>
      <w:r>
        <w:rPr>
          <w:b/>
          <w:bCs/>
        </w:rPr>
        <w:t xml:space="preserve">Peer read-throughs are mixed.</w:t>
      </w:r>
      <w:r>
        <w:t xml:space="preserve"> </w:t>
      </w:r>
      <w:r>
        <w:t xml:space="preserve">Cadence's beat-and-raise (EDA/design demand) is supportive of KLA's "design-starts proliferation" thesis, while Texas Instruments posted a strong earnings beat yet the stock sold off, reflecting investors reassessing returns on technology-sector capex — a reminder that even a clean print can be sold in this tape.</w:t>
      </w:r>
    </w:p>
    <w:p>
      <w:r>
        <w:pict>
          <v:rect style="width:0;height:1.5pt" o:hralign="center" o:hrstd="t" o:hr="t"/>
        </w:pict>
      </w:r>
    </w:p>
    <w:bookmarkEnd w:id="17"/>
    <w:bookmarkStart w:id="18" w:name="what-id-watch-on-the-call-ranked"/>
    <w:p>
      <w:pPr>
        <w:pStyle w:val="Heading2"/>
      </w:pPr>
      <w:r>
        <w:t xml:space="preserve">What I'd watch on the call (ranked)</w:t>
      </w:r>
    </w:p>
    <w:p>
      <w:pPr>
        <w:pStyle w:val="Compact"/>
        <w:numPr>
          <w:ilvl w:val="0"/>
          <w:numId w:val="1006"/>
        </w:numPr>
      </w:pPr>
      <w:r>
        <w:rPr>
          <w:b/>
          <w:bCs/>
        </w:rPr>
        <w:t xml:space="preserve">2027 framework.</w:t>
      </w:r>
      <w:r>
        <w:t xml:space="preserve"> </w:t>
      </w:r>
      <w:r>
        <w:t xml:space="preserve">Any quantification beyond "growth rate higher than 2026." This moves the stock more than the June quarter.</w:t>
      </w:r>
    </w:p>
    <w:p>
      <w:pPr>
        <w:pStyle w:val="Compact"/>
        <w:numPr>
          <w:ilvl w:val="0"/>
          <w:numId w:val="1006"/>
        </w:numPr>
      </w:pPr>
      <w:r>
        <w:rPr>
          <w:b/>
          <w:bCs/>
        </w:rPr>
        <w:t xml:space="preserve">September-quarter guide / back-half acceleration.</w:t>
      </w:r>
      <w:r>
        <w:t xml:space="preserve"> </w:t>
      </w:r>
      <w:r>
        <w:t xml:space="preserve">Confirmation of the ~$15B CY26 trajectory and continued sequential growth.</w:t>
      </w:r>
    </w:p>
    <w:p>
      <w:pPr>
        <w:pStyle w:val="Compact"/>
        <w:numPr>
          <w:ilvl w:val="0"/>
          <w:numId w:val="1006"/>
        </w:numPr>
      </w:pPr>
      <w:r>
        <w:rPr>
          <w:b/>
          <w:bCs/>
        </w:rPr>
        <w:t xml:space="preserve">China commentary post-CXMT/DUV headlines.</w:t>
      </w:r>
      <w:r>
        <w:t xml:space="preserve"> </w:t>
      </w:r>
      <w:r>
        <w:t xml:space="preserve">Is the "immaterial / flat China" stance intact?</w:t>
      </w:r>
    </w:p>
    <w:p>
      <w:pPr>
        <w:pStyle w:val="Compact"/>
        <w:numPr>
          <w:ilvl w:val="0"/>
          <w:numId w:val="1006"/>
        </w:numPr>
      </w:pPr>
      <w:r>
        <w:rPr>
          <w:b/>
          <w:bCs/>
        </w:rPr>
        <w:t xml:space="preserve">Gross-margin bridge.</w:t>
      </w:r>
      <w:r>
        <w:t xml:space="preserve"> </w:t>
      </w:r>
      <w:r>
        <w:t xml:space="preserve">Does the ~62% CY26 anchor hold against worsening memory-input costs?</w:t>
      </w:r>
    </w:p>
    <w:p>
      <w:pPr>
        <w:pStyle w:val="Compact"/>
        <w:numPr>
          <w:ilvl w:val="0"/>
          <w:numId w:val="1006"/>
        </w:numPr>
      </w:pPr>
      <w:r>
        <w:rPr>
          <w:b/>
          <w:bCs/>
        </w:rPr>
        <w:t xml:space="preserve">Advanced packaging.</w:t>
      </w:r>
      <w:r>
        <w:t xml:space="preserve"> </w:t>
      </w:r>
      <w:r>
        <w:t xml:space="preserve">Another upward revision toward/above $1B would validate the AI/HBM leverage.</w:t>
      </w:r>
    </w:p>
    <w:p>
      <w:pPr>
        <w:pStyle w:val="Compact"/>
        <w:numPr>
          <w:ilvl w:val="0"/>
          <w:numId w:val="1006"/>
        </w:numPr>
      </w:pPr>
      <w:r>
        <w:rPr>
          <w:b/>
          <w:bCs/>
        </w:rPr>
        <w:t xml:space="preserve">Backlog/lead-time color.</w:t>
      </w:r>
      <w:r>
        <w:t xml:space="preserve"> </w:t>
      </w:r>
      <w:r>
        <w:t xml:space="preserve">Management has pointed to a growing systems backlog and sales funnel, with unprecedented demand visibility and customers pushing to secure slots for 2027 greenfield fabs.</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Fundamentally, KLA goes into this print with about as strong a demand backdrop as it has ever described, best-in-class margins and cash returns, and rising process-control intensity across foundry/logic, memory, and advanced packaging. The risk is</w:t>
      </w:r>
      <w:r>
        <w:t xml:space="preserve"> </w:t>
      </w:r>
      <w:r>
        <w:rPr>
          <w:b/>
          <w:bCs/>
        </w:rPr>
        <w:t xml:space="preserve">not</w:t>
      </w:r>
      <w:r>
        <w:t xml:space="preserve"> </w:t>
      </w:r>
      <w:r>
        <w:t xml:space="preserve">the numbers — it's</w:t>
      </w:r>
      <w:r>
        <w:t xml:space="preserve"> </w:t>
      </w:r>
      <w:r>
        <w:rPr>
          <w:b/>
          <w:bCs/>
        </w:rPr>
        <w:t xml:space="preserve">expectations and the tape</w:t>
      </w:r>
      <w:r>
        <w:t xml:space="preserve">: a stock that ran ~150% and then gave back a third, a freshly nervous market on AI-capex returns and Chinese equipment indigenization, and a "high bar" that likely requires a beat-and-raise</w:t>
      </w:r>
      <w:r>
        <w:t xml:space="preserve"> </w:t>
      </w:r>
      <w:r>
        <w:rPr>
          <w:i/>
          <w:iCs/>
        </w:rPr>
        <w:t xml:space="preserve">plus</w:t>
      </w:r>
      <w:r>
        <w:t xml:space="preserve"> </w:t>
      </w:r>
      <w:r>
        <w:t xml:space="preserve">a confident, quantified 2027 message to be rewarded. A clean in-line print with cautious 2027 language could still see the stock sold; the upside case is management putting a hard number on 2027 acceleration and nudging up the advanced-packaging and margin outlooks.</w:t>
      </w:r>
    </w:p>
    <w:p>
      <w:pPr>
        <w:pStyle w:val="BodyText"/>
      </w:pPr>
      <w:r>
        <w:rPr>
          <w:i/>
          <w:iCs/>
        </w:rPr>
        <w:t xml:space="preserve">(Preview based on company filings/transcripts through the March-2026 quarter and news through July 27, 2026. Not investment advice.)</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2026-07-28T01:21:46Z</dcterms:created>
  <dcterms:modified xsi:type="dcterms:W3CDTF">2026-07-28T01:21:46Z</dcterms:modified>
</cp:coreProperties>
</file>

<file path=docProps/custom.xml><?xml version="1.0" encoding="utf-8"?>
<Properties xmlns="http://schemas.openxmlformats.org/officeDocument/2006/custom-properties" xmlns:vt="http://schemas.openxmlformats.org/officeDocument/2006/docPropsVTypes"/>
</file>