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KLAC's recent financials, guidance, and market context before writing the preview.Let me read the most recent earnings call transcript and earnings release for detailed guidance.# KLA Corporation (KLAC) — Earnings Preview: FQ4 2026 (June Quarter)</w:t>
      </w:r>
    </w:p>
    <w:p>
      <w:pPr>
        <w:pStyle w:val="BodyText"/>
      </w:pPr>
      <w:r>
        <w:rPr>
          <w:b/>
          <w:bCs/>
        </w:rPr>
        <w:t xml:space="preserve">Report date:</w:t>
      </w:r>
      <w:r>
        <w:t xml:space="preserve"> </w:t>
      </w:r>
      <w:r>
        <w:t xml:space="preserve">Tuesday, July 28, 2026, after market close (2:00 p.m. PT call)</w:t>
      </w:r>
    </w:p>
    <w:p>
      <w:r>
        <w:pict>
          <v:rect style="width:0;height:1.5pt" o:hralign="center" o:hrstd="t" o:hr="t"/>
        </w:pict>
      </w:r>
    </w:p>
    <w:bookmarkStart w:id="9" w:name="X970bad5518ca8449c0f5be445858b635dd65f78"/>
    <w:p>
      <w:pPr>
        <w:pStyle w:val="Heading2"/>
      </w:pPr>
      <w:r>
        <w:t xml:space="preserve">1. Setup: A high bar after an extraordinary run</w:t>
      </w:r>
    </w:p>
    <w:p>
      <w:pPr>
        <w:pStyle w:val="FirstParagraph"/>
      </w:pPr>
      <w:r>
        <w:t xml:space="preserve">KLAC heads into this print in one of the more volatile stretches of its history. The stock rose 9% on June 30, marking its best month in almost 40 years, up around 150% this year, a rally that reflected South Korea's over $500 billion investment in AI chip production, with Samsung and SK Hynix announcing plans to build chip plants, lifting chip-tool names broadly. Shares peaked near $302 on June 30 before round-tripping sharply lower to roughly $203 by July 27 — still up about 67% year-to-date, but down roughly one-third from the peak.</w:t>
      </w:r>
    </w:p>
    <w:p>
      <w:pPr>
        <w:pStyle w:val="BodyText"/>
      </w:pPr>
      <w:r>
        <w:t xml:space="preserve">The pullback has been sector-wide rather than KLAC-specific. In the past week, ASML shares fell 7.79% as chip stocks reversed sharply lower following a massive Chinese initial public offering and a report that a state-backed Chinese company has started mass producing chip-making machines — a reference to China's largest listed firm onshore, CXMT (formerly ChangXin Memory Technologies), which made its Shanghai debut and jumped as much as 535% on its first day. J.P. Morgan called the ASML move "sentiment-driven," but flagged that it raises the long-term risk to ASML's China revenue — a read-through investors will be probing for on KLA's China exposure too. Separately, broader tech-capex jitters resurfaced after IBM's guidance miss and mixed hyperscaler spending signals, and even a Texas Instruments beat was met with a sell-off as investors are reassessing returns on technology sector capital expenditures. Sentiment heading into the print is described as very bullish as investors anticipate the ongoing AI boom driving years of aggressive chip manufacturing capacity expansion, although this setup creates a very high bar for results.</w:t>
      </w:r>
    </w:p>
    <w:bookmarkEnd w:id="9"/>
    <w:bookmarkStart w:id="10" w:name="X296a1446517a40e2ab5ae80daa2aeff54a1b0a6"/>
    <w:p>
      <w:pPr>
        <w:pStyle w:val="Heading2"/>
      </w:pPr>
      <w:r>
        <w:t xml:space="preserve">2. What KLA guided and why last quarter was strong</w:t>
      </w:r>
    </w:p>
    <w:p>
      <w:pPr>
        <w:pStyle w:val="FirstParagraph"/>
      </w:pPr>
      <w:r>
        <w:t xml:space="preserve">KLA's March-quarter (FQ3) results were solid: total revenues were $3.415 billion, above the midpoint of the guidance range of $3.35 billion +/- $150 million; GAAP diluted EPS was $9.12 and non-GAAP diluted EPS was $9.40, both above the midpoints of the respective guidance ranges. Free cash flow generation remained a hallmark: cash flow from operating activities for the quarter and last twelve months were $707.5 million and $4.40 billion, respectively, and free cash flow was $622.3 million and $4.01 billion, respectively, and capital returns for the quarter and last twelve months were $874.8 million and $3.15 billion, respectively.</w:t>
      </w:r>
    </w:p>
    <w:p>
      <w:pPr>
        <w:pStyle w:val="BodyText"/>
      </w:pPr>
      <w:r>
        <w:t xml:space="preserve">For the quarter reporting tomorrow, management guided:</w:t>
      </w:r>
    </w:p>
    <w:p>
      <w:pPr>
        <w:pStyle w:val="Compact"/>
        <w:numPr>
          <w:ilvl w:val="0"/>
          <w:numId w:val="1001"/>
        </w:numPr>
      </w:pPr>
      <w:r>
        <w:rPr>
          <w:b/>
          <w:bCs/>
        </w:rPr>
        <w:t xml:space="preserve">Revenue:</w:t>
      </w:r>
      <w:r>
        <w:t xml:space="preserve"> </w:t>
      </w:r>
      <w:r>
        <w:t xml:space="preserve">Total revenues are expected to be in a range of $3.575 billion +/- $200 million</w:t>
      </w:r>
    </w:p>
    <w:p>
      <w:pPr>
        <w:pStyle w:val="Compact"/>
        <w:numPr>
          <w:ilvl w:val="0"/>
          <w:numId w:val="1001"/>
        </w:numPr>
      </w:pPr>
      <w:r>
        <w:rPr>
          <w:b/>
          <w:bCs/>
        </w:rPr>
        <w:t xml:space="preserve">Gross margin:</w:t>
      </w:r>
      <w:r>
        <w:t xml:space="preserve"> </w:t>
      </w:r>
      <w:r>
        <w:t xml:space="preserve">GAAP gross margin is expected to be in a range of 60.72% +/- 1.00%; Non-GAAP gross margin is expected to be in a range of 61.75% +/- 1.00%</w:t>
      </w:r>
    </w:p>
    <w:p>
      <w:pPr>
        <w:pStyle w:val="Compact"/>
        <w:numPr>
          <w:ilvl w:val="0"/>
          <w:numId w:val="1001"/>
        </w:numPr>
      </w:pPr>
      <w:r>
        <w:rPr>
          <w:b/>
          <w:bCs/>
        </w:rPr>
        <w:t xml:space="preserve">EPS:</w:t>
      </w:r>
      <w:r>
        <w:t xml:space="preserve"> </w:t>
      </w:r>
      <w:r>
        <w:t xml:space="preserve">GAAP diluted EPS is expected to be in a range of $9.66 +/- $1.00; Non-GAAP diluted EPS is expected to be in a range of $8.87 to $10.87 (midpoint $9.87)</w:t>
      </w:r>
    </w:p>
    <w:p>
      <w:pPr>
        <w:pStyle w:val="FirstParagraph"/>
      </w:pPr>
      <w:r>
        <w:t xml:space="preserve">Street estimates are tracking close to guidance — the Zacks consensus for revenue sits at</w:t>
      </w:r>
      <w:r>
        <w:t xml:space="preserve"> </w:t>
      </w:r>
      <w:r>
        <w:rPr>
          <w:b/>
          <w:bCs/>
        </w:rPr>
        <w:t xml:space="preserve">$3.61 billion</w:t>
      </w:r>
      <w:r>
        <w:t xml:space="preserve">, implying roughly 13.7% year-over-year growth, essentially in line with KLA's own outlook. KLA has beaten its guidance and consensus in each of the last several quarters, so the bar for a "beat" is really about magnitude and, more importantly, the FY2027 (calendar 2026/2027) outlook commentary.</w:t>
      </w:r>
    </w:p>
    <w:bookmarkEnd w:id="10"/>
    <w:bookmarkStart w:id="11" w:name="X9f488dce62bb63b2b53cf5b63004c2dcd2014ac"/>
    <w:p>
      <w:pPr>
        <w:pStyle w:val="Heading2"/>
      </w:pPr>
      <w:r>
        <w:t xml:space="preserve">3. The bigger story: 2026-2027 wafer fab equipment (WFE) supercycle</w:t>
      </w:r>
    </w:p>
    <w:p>
      <w:pPr>
        <w:pStyle w:val="FirstParagraph"/>
      </w:pPr>
      <w:r>
        <w:t xml:space="preserve">On the April call, management raised its industry outlook multiple times in a matter of weeks. Key data points:</w:t>
      </w:r>
    </w:p>
    <w:p>
      <w:pPr>
        <w:pStyle w:val="Compact"/>
        <w:numPr>
          <w:ilvl w:val="0"/>
          <w:numId w:val="1002"/>
        </w:numPr>
      </w:pPr>
      <w:r>
        <w:t xml:space="preserve">We expect the wafer equipment market which includes advanced packaging to exceed $140 billion in 2026, versus a roughly $120 billion 2025 base.</w:t>
      </w:r>
    </w:p>
    <w:p>
      <w:pPr>
        <w:pStyle w:val="Compact"/>
        <w:numPr>
          <w:ilvl w:val="0"/>
          <w:numId w:val="1002"/>
        </w:numPr>
      </w:pPr>
      <w:r>
        <w:t xml:space="preserve">Today, we expect the 2027 year-over-year growth rate to be higher than our growth rate expectations for 2026 — an unusually early and explicit call on next year's growth.</w:t>
      </w:r>
    </w:p>
    <w:p>
      <w:pPr>
        <w:pStyle w:val="Compact"/>
        <w:numPr>
          <w:ilvl w:val="0"/>
          <w:numId w:val="1002"/>
        </w:numPr>
      </w:pPr>
      <w:r>
        <w:t xml:space="preserve">For KLA specifically: we expect sequential revenue growth for the company to accelerate, leading to high teen revenue growth year-over-year in the semiconductor process control systems business to grow over 20%.</w:t>
      </w:r>
    </w:p>
    <w:p>
      <w:pPr>
        <w:pStyle w:val="Compact"/>
        <w:numPr>
          <w:ilvl w:val="0"/>
          <w:numId w:val="1002"/>
        </w:numPr>
      </w:pPr>
      <w:r>
        <w:t xml:space="preserve">Demand visibility is described as unprecedented: the strength of demand and customer engagement... has led to unprecedented demand visibility from our customers, and CEO Rick Wallace noted there's a higher level of urgency around securing capacity for our customers that I can remember seeing, adding there's no question '27 is going to be a massive buildup.</w:t>
      </w:r>
    </w:p>
    <w:p>
      <w:pPr>
        <w:pStyle w:val="Compact"/>
        <w:numPr>
          <w:ilvl w:val="0"/>
          <w:numId w:val="1002"/>
        </w:numPr>
      </w:pPr>
      <w:r>
        <w:t xml:space="preserve">On the AI capex debate, Wallace pushed back on fears that hyperscaler spending pauses cap WFE: this equilibrium between what the CapEx, the hyperscaler guys say and the notion that you can draw a straight line to WFE, you just can't because... we're way underserving those demands, and the reason '26 isn't bigger is because they can't build enough fabs fast enough.</w:t>
      </w:r>
    </w:p>
    <w:p>
      <w:pPr>
        <w:pStyle w:val="FirstParagraph"/>
      </w:pPr>
      <w:r>
        <w:t xml:space="preserve">Watch for whether that confidence is reiterated given the recent hyperscaler capex jitters and the CXMT/China self-sufficiency headlines — this is likely to be the single most important swing factor for the stock reaction.</w:t>
      </w:r>
    </w:p>
    <w:bookmarkEnd w:id="11"/>
    <w:bookmarkStart w:id="12" w:name="X97e7a88ad99f6a0d7180e028dd265f6041a0eb5"/>
    <w:p>
      <w:pPr>
        <w:pStyle w:val="Heading2"/>
      </w:pPr>
      <w:r>
        <w:t xml:space="preserve">4. Advanced packaging: the fastest-growing sub-segment</w:t>
      </w:r>
    </w:p>
    <w:p>
      <w:pPr>
        <w:pStyle w:val="FirstParagraph"/>
      </w:pPr>
      <w:r>
        <w:t xml:space="preserve">Advanced packaging has become a standout growth driver and a source of repeated upward revisions:</w:t>
      </w:r>
    </w:p>
    <w:p>
      <w:pPr>
        <w:pStyle w:val="Compact"/>
        <w:numPr>
          <w:ilvl w:val="0"/>
          <w:numId w:val="1003"/>
        </w:numPr>
      </w:pPr>
      <w:r>
        <w:t xml:space="preserve">KLA achieving the #1 position in process control for advanced wafer level packaging for 2025, with semiconductor process control product portfolio revenue for advanced packaging will grow from approximately $635 million in 2025 to approximately $1 billion in 2026, well above our prior estimates.</w:t>
      </w:r>
    </w:p>
    <w:p>
      <w:pPr>
        <w:pStyle w:val="Compact"/>
        <w:numPr>
          <w:ilvl w:val="0"/>
          <w:numId w:val="1003"/>
        </w:numPr>
      </w:pPr>
      <w:r>
        <w:t xml:space="preserve">Market share gains have been dramatic: KLA increased its market share by 14 percentage points and achieved approximately 70% year-over-year revenue growth in wafer-level packaging.</w:t>
      </w:r>
    </w:p>
    <w:p>
      <w:pPr>
        <w:pStyle w:val="Compact"/>
        <w:numPr>
          <w:ilvl w:val="0"/>
          <w:numId w:val="1003"/>
        </w:numPr>
      </w:pPr>
      <w:r>
        <w:t xml:space="preserve">CFO Bren Higgins noted the packaging revision came quickly: a quarter ago, we thought that the overall growth rate in process control advanced packaging was somewhere in excess of 30%... we're now in the upper 50% range in terms of growth, driven by momentum from a number of customers for additional capacity this year, tied to CoWoS and emerging SoIC/hybrid-bonding packaging for AI accelerators.</w:t>
      </w:r>
    </w:p>
    <w:p>
      <w:pPr>
        <w:pStyle w:val="FirstParagraph"/>
      </w:pPr>
      <w:r>
        <w:t xml:space="preserve">Investors should watch for another upward revision to this figure, or commentary suggesting the pace of packaging investment is normalizing.</w:t>
      </w:r>
    </w:p>
    <w:bookmarkEnd w:id="12"/>
    <w:bookmarkStart w:id="13" w:name="Xa38fa1393a05b1dfa91f3f9f298e16df7b99702"/>
    <w:p>
      <w:pPr>
        <w:pStyle w:val="Heading2"/>
      </w:pPr>
      <w:r>
        <w:t xml:space="preserve">5. Margin watch item: DRAM cost headwind</w:t>
      </w:r>
    </w:p>
    <w:p>
      <w:pPr>
        <w:pStyle w:val="FirstParagraph"/>
      </w:pPr>
      <w:r>
        <w:t xml:space="preserve">A recurring, quantified risk to gross margin is the cost of DRAM chips used in KLA's own image-processing computers (an input cost, ironically driven by the same memory shortage that's fueling KLA's memory-equipment demand):</w:t>
      </w:r>
    </w:p>
    <w:p>
      <w:pPr>
        <w:pStyle w:val="Compact"/>
        <w:numPr>
          <w:ilvl w:val="0"/>
          <w:numId w:val="1004"/>
        </w:numPr>
      </w:pPr>
      <w:r>
        <w:t xml:space="preserve">Our view of elevated memory pricing persisting through at least calendar 2026 is unchanged. And we continue to see a roughly 100 basis point negative impact on our gross margin over the next several quarters.</w:t>
      </w:r>
    </w:p>
    <w:p>
      <w:pPr>
        <w:pStyle w:val="Compact"/>
        <w:numPr>
          <w:ilvl w:val="0"/>
          <w:numId w:val="1004"/>
        </w:numPr>
      </w:pPr>
      <w:r>
        <w:t xml:space="preserve">Positively, supply is secured: I feel very good about our supply situation going into... to support our build plans through next year (in response to a question about duration of the secured DRAM supply).</w:t>
      </w:r>
    </w:p>
    <w:p>
      <w:pPr>
        <w:pStyle w:val="Compact"/>
        <w:numPr>
          <w:ilvl w:val="0"/>
          <w:numId w:val="1004"/>
        </w:numPr>
      </w:pPr>
      <w:r>
        <w:t xml:space="preserve">Management has been explicit that KLA won't try to opportunistically raise prices to offset this: we don't price based on scarcity at KLA. Our pricing is based on cost of ownership improvements from one generation to the next.</w:t>
      </w:r>
    </w:p>
    <w:p>
      <w:pPr>
        <w:pStyle w:val="FirstParagraph"/>
      </w:pPr>
      <w:r>
        <w:t xml:space="preserve">With DRAM/NAND/HBM pricing continuing to spike industry-wide (KeyBanc, for instance, has flagged 15-40% sequential price increases across memory categories into H2 2026), this 100bp-plus headwind bears watching for any incremental deterioration versus the ~62% (±50bp) full-year calendar 2026 gross margin target management reiterated.</w:t>
      </w:r>
    </w:p>
    <w:bookmarkEnd w:id="13"/>
    <w:bookmarkStart w:id="14" w:name="X4cf7d757770d341d994f16bc21830154c675147"/>
    <w:p>
      <w:pPr>
        <w:pStyle w:val="Heading2"/>
      </w:pPr>
      <w:r>
        <w:t xml:space="preserve">6. China / export-control overhang</w:t>
      </w:r>
    </w:p>
    <w:p>
      <w:pPr>
        <w:pStyle w:val="FirstParagraph"/>
      </w:pPr>
      <w:r>
        <w:t xml:space="preserve">China exposure remains a swing factor, though management has downplayed near-term impact. Asked about reported bans affecting Hua Hong-affiliated fabs, Higgins said: The impact on the company in terms of our Q2 guidance and the commentary around '26, I would say, is fairly immaterial... it's fairly immaterial and contemplated in the guidance we provided. On the broader trajectory: if you look at overall spending in China, it's more or less flat, maybe a little bit up... I would expect that the China growth rate is probably lower than where the overall WFE growth rate is projected to be here moving forward. Given this week's ASML sell-off on domestic Chinese DUV lithography tooling progress, expect analysts to press KLA on whether indigenous Chinese process-control competition is emerging as a similar long-term risk to its own China revenue base.</w:t>
      </w:r>
    </w:p>
    <w:bookmarkEnd w:id="14"/>
    <w:bookmarkStart w:id="15" w:name="Xf5bf28b40c6123eda10c504ba28cdcdce56208b"/>
    <w:p>
      <w:pPr>
        <w:pStyle w:val="Heading2"/>
      </w:pPr>
      <w:r>
        <w:t xml:space="preserve">7. Capital returns and the long-term model</w:t>
      </w:r>
    </w:p>
    <w:p>
      <w:pPr>
        <w:pStyle w:val="FirstParagraph"/>
      </w:pPr>
      <w:r>
        <w:t xml:space="preserve">KLA's March Investor Day reset the long-term algorithm meaningfully higher: KLA revised up 13% to 17% revenue CAGR objective through 2030... and includes an increased long-term services revenue CAGR growth model of approximately 13% to 15%, built on a baseline semiconductor industry growth CAGR of 11% from 2025 to 2030 and wafer equipment market growing 1% faster than the semiconductor industry to $215 billion, plus or minus $20 billion by 2030. The company also raised its capital return ambition to target over 90% of free cash flow, announced the 17th consecutive increase in our quarterly dividend level and an incremental $7 billion share repurchase authorization (dividend raised to $2.30/share per the press release), and management believes even the 2030 revenue targets may prove conservative given elevated memory pricing (Stacy Rasgon's Investor Day follow-up).</w:t>
      </w:r>
    </w:p>
    <w:p>
      <w:pPr>
        <w:pStyle w:val="BodyText"/>
      </w:pPr>
      <w:r>
        <w:t xml:space="preserve">Services remains a durable, high-visibility growth engine: KLA's Service business was $775 million in the March quarter, up 16% year-over-year, and Higgins guided that we're trending in service in line with the target range. We would expect to be within it (13-15% CAGR), with further acceleration likely as the current shipment wave converts to installed-base service revenue in coming years.</w:t>
      </w:r>
    </w:p>
    <w:bookmarkEnd w:id="15"/>
    <w:bookmarkStart w:id="16" w:name="Xfd0b5c696c24735eb6f18bff4eff058bcacb86c"/>
    <w:p>
      <w:pPr>
        <w:pStyle w:val="Heading2"/>
      </w:pPr>
      <w:r>
        <w:t xml:space="preserve">8. What to listen for on tomorrow's call</w:t>
      </w:r>
    </w:p>
    <w:p>
      <w:pPr>
        <w:pStyle w:val="Compact"/>
        <w:numPr>
          <w:ilvl w:val="0"/>
          <w:numId w:val="1005"/>
        </w:numPr>
      </w:pPr>
      <w:r>
        <w:rPr>
          <w:b/>
          <w:bCs/>
        </w:rPr>
        <w:t xml:space="preserve">FQ4 print vs. guide</w:t>
      </w:r>
      <w:r>
        <w:t xml:space="preserve"> </w:t>
      </w:r>
      <w:r>
        <w:t xml:space="preserve">— revenue (</w:t>
      </w:r>
      <m:oMath>
        <m:r>
          <m:t>3.575</m:t>
        </m:r>
        <m:r>
          <m:t>B</m:t>
        </m:r>
        <m:r>
          <m:rPr>
            <m:sty m:val="p"/>
          </m:rPr>
          <m:t>±</m:t>
        </m:r>
      </m:oMath>
      <w:r>
        <w:t xml:space="preserve">200M) and non-GAAP EPS (</w:t>
      </w:r>
      <m:oMath>
        <m:r>
          <m:t>9.87</m:t>
        </m:r>
        <m:r>
          <m:t>m</m:t>
        </m:r>
        <m:r>
          <m:t>i</m:t>
        </m:r>
        <m:r>
          <m:t>d</m:t>
        </m:r>
        <m:r>
          <m:t>p</m:t>
        </m:r>
        <m:r>
          <m:t>o</m:t>
        </m:r>
        <m:r>
          <m:t>i</m:t>
        </m:r>
        <m:r>
          <m:t>n</m:t>
        </m:r>
        <m:r>
          <m:t>t</m:t>
        </m:r>
        <m:r>
          <m:rPr>
            <m:sty m:val="p"/>
          </m:rPr>
          <m:t>)</m:t>
        </m:r>
        <m:r>
          <m:t>r</m:t>
        </m:r>
        <m:r>
          <m:t>e</m:t>
        </m:r>
        <m:r>
          <m:t>l</m:t>
        </m:r>
        <m:r>
          <m:t>a</m:t>
        </m:r>
        <m:r>
          <m:t>t</m:t>
        </m:r>
        <m:r>
          <m:t>i</m:t>
        </m:r>
        <m:r>
          <m:t>v</m:t>
        </m:r>
        <m:r>
          <m:t>e</m:t>
        </m:r>
        <m:r>
          <m:t>t</m:t>
        </m:r>
        <m:r>
          <m:t>o</m:t>
        </m:r>
        <m:r>
          <m:t>t</m:t>
        </m:r>
        <m:r>
          <m:t>h</m:t>
        </m:r>
        <m:r>
          <m:t>e</m:t>
        </m:r>
        <m:r>
          <m:t> </m:t>
        </m:r>
      </m:oMath>
      <w:r>
        <w:t xml:space="preserve">3.6B Street revenue consensus.</w:t>
      </w:r>
    </w:p>
    <w:p>
      <w:pPr>
        <w:pStyle w:val="Compact"/>
        <w:numPr>
          <w:ilvl w:val="0"/>
          <w:numId w:val="1005"/>
        </w:numPr>
      </w:pPr>
      <w:r>
        <w:rPr>
          <w:b/>
          <w:bCs/>
        </w:rPr>
        <w:t xml:space="preserve">Calendar 2026/2027 WFE outlook</w:t>
      </w:r>
      <w:r>
        <w:t xml:space="preserve"> </w:t>
      </w:r>
      <w:r>
        <w:t xml:space="preserve">— any incremental revision to the &gt;$140B 2026 figure or the "2027 growth exceeds 2026" call, especially given recent hyperscaler capex noise and the China DUV/CXMT headlines.</w:t>
      </w:r>
    </w:p>
    <w:p>
      <w:pPr>
        <w:pStyle w:val="Compact"/>
        <w:numPr>
          <w:ilvl w:val="0"/>
          <w:numId w:val="1005"/>
        </w:numPr>
      </w:pPr>
      <w:r>
        <w:rPr>
          <w:b/>
          <w:bCs/>
        </w:rPr>
        <w:t xml:space="preserve">Advanced packaging trajectory</w:t>
      </w:r>
      <w:r>
        <w:t xml:space="preserve"> </w:t>
      </w:r>
      <w:r>
        <w:t xml:space="preserve">— whether the ~$1B 2026 estimate (up from $635M in 2025) gets revised again.</w:t>
      </w:r>
    </w:p>
    <w:p>
      <w:pPr>
        <w:pStyle w:val="Compact"/>
        <w:numPr>
          <w:ilvl w:val="0"/>
          <w:numId w:val="1005"/>
        </w:numPr>
      </w:pPr>
      <w:r>
        <w:rPr>
          <w:b/>
          <w:bCs/>
        </w:rPr>
        <w:t xml:space="preserve">Gross margin path</w:t>
      </w:r>
      <w:r>
        <w:t xml:space="preserve"> </w:t>
      </w:r>
      <w:r>
        <w:t xml:space="preserve">— magnitude of the DRAM/memory cost headwind (currently ~100bps) and tariff impact trajectory.</w:t>
      </w:r>
    </w:p>
    <w:p>
      <w:pPr>
        <w:pStyle w:val="Compact"/>
        <w:numPr>
          <w:ilvl w:val="0"/>
          <w:numId w:val="1005"/>
        </w:numPr>
      </w:pPr>
      <w:r>
        <w:rPr>
          <w:b/>
          <w:bCs/>
        </w:rPr>
        <w:t xml:space="preserve">China commentary</w:t>
      </w:r>
      <w:r>
        <w:t xml:space="preserve"> </w:t>
      </w:r>
      <w:r>
        <w:t xml:space="preserve">— any update on export-control impacts (e.g., Hua Hong-related restrictions) and competitive dynamics from indigenous Chinese toolmakers.</w:t>
      </w:r>
    </w:p>
    <w:p>
      <w:pPr>
        <w:pStyle w:val="Compact"/>
        <w:numPr>
          <w:ilvl w:val="0"/>
          <w:numId w:val="1005"/>
        </w:numPr>
      </w:pPr>
      <w:r>
        <w:rPr>
          <w:b/>
          <w:bCs/>
        </w:rPr>
        <w:t xml:space="preserve">Fiscal 2027 initial framework</w:t>
      </w:r>
      <w:r>
        <w:t xml:space="preserve"> </w:t>
      </w:r>
      <w:r>
        <w:t xml:space="preserve">— first look at FY2027 guidance/qualitative color, given this is the Q4/year-end call.</w:t>
      </w:r>
    </w:p>
    <w:p>
      <w:pPr>
        <w:pStyle w:val="Compact"/>
        <w:numPr>
          <w:ilvl w:val="0"/>
          <w:numId w:val="1005"/>
        </w:numPr>
      </w:pPr>
      <w:r>
        <w:rPr>
          <w:b/>
          <w:bCs/>
        </w:rPr>
        <w:t xml:space="preserve">Capital returns cadence</w:t>
      </w:r>
      <w:r>
        <w:t xml:space="preserve"> </w:t>
      </w:r>
      <w:r>
        <w:t xml:space="preserve">— buyback pace against the new $7B authorization and the &gt;90% FCF return target.</w:t>
      </w:r>
    </w:p>
    <w:bookmarkEnd w:id="16"/>
    <w:bookmarkStart w:id="17" w:name="X11d90d36a94bab1a06fa81bab9cccdc27a54f57"/>
    <w:p>
      <w:pPr>
        <w:pStyle w:val="Heading2"/>
      </w:pPr>
      <w:r>
        <w:t xml:space="preserve">9. Bottom line for investors</w:t>
      </w:r>
    </w:p>
    <w:p>
      <w:pPr>
        <w:pStyle w:val="FirstParagraph"/>
      </w:pPr>
      <w:r>
        <w:t xml:space="preserve">KLA enters this print with genuinely strong fundamentals — accelerating revenue growth, record process-control market share, a raised long-term growth algorithm, and a shareholder-friendly capital return framework — set against a stock that has been extremely volatile (a ~150% run into late June followed by a ~30% drawdown) as the market recalibrates AI-capex durability and China competitive risk across the whole semicap complex. The operational bar (guidance) looks achievable given KLA's consistent beat record, but the more important swing factor for the stock is whether management's bullish 2026/2027 WFE commentary — and confidence that demand is "underserving" hyperscaler needs — holds up against a jumpier macro and China-tech-sovereignty narrative than existed three months ago.</w:t>
      </w:r>
    </w:p>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2026-07-28T01:22:14Z</dcterms:created>
  <dcterms:modified xsi:type="dcterms:W3CDTF">2026-07-28T01:22:14Z</dcterms:modified>
</cp:coreProperties>
</file>

<file path=docProps/custom.xml><?xml version="1.0" encoding="utf-8"?>
<Properties xmlns="http://schemas.openxmlformats.org/officeDocument/2006/custom-properties" xmlns:vt="http://schemas.openxmlformats.org/officeDocument/2006/docPropsVTypes"/>
</file>