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d4c6bff2a3b95a9b4b37ebe2b91bb6715e59f8"/>
    <w:p>
      <w:pPr>
        <w:pStyle w:val="Heading1"/>
      </w:pPr>
      <w:r>
        <w:t xml:space="preserve">KLA Corp. (KLAC) Fiscal Q4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KLA is scheduled to report after the U.S. market close on</w:t>
      </w:r>
      <w:r>
        <w:t xml:space="preserve"> </w:t>
      </w:r>
      <w:r>
        <w:rPr>
          <w:b/>
          <w:bCs/>
        </w:rPr>
        <w:t xml:space="preserve">Tuesday, July 28, 2026—today, not tomorrow</w:t>
      </w:r>
      <w:r>
        <w:t xml:space="preserve">. The company completed a</w:t>
      </w:r>
      <w:r>
        <w:t xml:space="preserve"> </w:t>
      </w:r>
      <w:r>
        <w:rPr>
          <w:b/>
          <w:bCs/>
        </w:rPr>
        <w:t xml:space="preserve">10-for-1 stock split on June 12, 2026</w:t>
      </w:r>
      <w:r>
        <w:t xml:space="preserve">, so per-share estimates below are split-adjusted.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KLA enters the report with unusually strong operating momentum: leading-edge foundry/logic investment is accelerating, high-bandwidth memory is increasing process-control intensity, advanced packaging demand has inflected higher, and customers are attempting to secure equipment capacity well into 2027.</w:t>
      </w:r>
    </w:p>
    <w:p>
      <w:pPr>
        <w:pStyle w:val="BodyText"/>
      </w:pPr>
      <w:r>
        <w:t xml:space="preserve">The central question is therefore</w:t>
      </w:r>
      <w:r>
        <w:t xml:space="preserve"> </w:t>
      </w:r>
      <w:r>
        <w:rPr>
          <w:b/>
          <w:bCs/>
        </w:rPr>
        <w:t xml:space="preserve">not whether the June quarter was strong</w:t>
      </w:r>
      <w:r>
        <w:t xml:space="preserve">. KLA already guided to a healthy sequential increase. The real question is whether management can:</w:t>
      </w:r>
    </w:p>
    <w:p>
      <w:pPr>
        <w:pStyle w:val="Compact"/>
        <w:numPr>
          <w:ilvl w:val="0"/>
          <w:numId w:val="1001"/>
        </w:numPr>
      </w:pPr>
      <w:r>
        <w:t xml:space="preserve">Support a meaningful September-quarter revenue step-up;</w:t>
      </w:r>
    </w:p>
    <w:p>
      <w:pPr>
        <w:pStyle w:val="Compact"/>
        <w:numPr>
          <w:ilvl w:val="0"/>
          <w:numId w:val="1001"/>
        </w:numPr>
      </w:pPr>
      <w:r>
        <w:t xml:space="preserve">Preserve approximately 62% gross margins despite memory-component and tariff costs;</w:t>
      </w:r>
    </w:p>
    <w:p>
      <w:pPr>
        <w:pStyle w:val="Compact"/>
        <w:numPr>
          <w:ilvl w:val="0"/>
          <w:numId w:val="1001"/>
        </w:numPr>
      </w:pPr>
      <w:r>
        <w:t xml:space="preserve">Reaffirm—or raise—its unusually bullish 2026–2027 industry outlook; and</w:t>
      </w:r>
    </w:p>
    <w:p>
      <w:pPr>
        <w:pStyle w:val="Compact"/>
        <w:numPr>
          <w:ilvl w:val="0"/>
          <w:numId w:val="1001"/>
        </w:numPr>
      </w:pPr>
      <w:r>
        <w:t xml:space="preserve">Demonstrate that advanced packaging’s recent acceleration is sustainable.</w:t>
      </w:r>
    </w:p>
    <w:p>
      <w:pPr>
        <w:pStyle w:val="FirstParagraph"/>
      </w:pPr>
      <w:r>
        <w:t xml:space="preserve">This is a high-expectations setup. The shares closed at</w:t>
      </w:r>
      <w:r>
        <w:t xml:space="preserve"> </w:t>
      </w:r>
      <w:r>
        <w:rPr>
          <w:b/>
          <w:bCs/>
        </w:rPr>
        <w:t xml:space="preserve">$203.40 on July 27</w:t>
      </w:r>
      <w:r>
        <w:t xml:space="preserve">, roughly</w:t>
      </w:r>
      <w:r>
        <w:t xml:space="preserve"> </w:t>
      </w:r>
      <w:r>
        <w:rPr>
          <w:b/>
          <w:bCs/>
        </w:rPr>
        <w:t xml:space="preserve">60% above the beginning of 2026</w:t>
      </w:r>
      <w:r>
        <w:t xml:space="preserve">, although they have fallen about</w:t>
      </w:r>
      <w:r>
        <w:t xml:space="preserve"> </w:t>
      </w:r>
      <w:r>
        <w:rPr>
          <w:b/>
          <w:bCs/>
        </w:rPr>
        <w:t xml:space="preserve">33% from their June 30 high</w:t>
      </w:r>
      <w:r>
        <w:t xml:space="preserve">. That pullback reduces—but does not eliminate—the bar for the outlook.</w:t>
      </w:r>
    </w:p>
    <w:p>
      <w:r>
        <w:pict>
          <v:rect style="width:0;height:1.5pt" o:hralign="center" o:hrstd="t" o:hr="t"/>
        </w:pict>
      </w:r>
    </w:p>
    <w:bookmarkEnd w:id="9"/>
    <w:bookmarkStart w:id="10" w:name="headline-expectations"/>
    <w:p>
      <w:pPr>
        <w:pStyle w:val="Heading2"/>
      </w:pPr>
      <w:r>
        <w:t xml:space="preserve">Headline expectations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Fiscal Q4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KLA guidance / market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$3.575B ± $200M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 revenue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$3.6B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61.75% ± 100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$0.987 ± $0.10</w:t>
            </w:r>
            <w:r>
              <w:t xml:space="preserve">, split-adjusted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 EPS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$1.00</w:t>
            </w:r>
            <w:r>
              <w:t xml:space="preserve">, split-adjusted</w:t>
            </w:r>
          </w:p>
        </w:tc>
      </w:tr>
    </w:tbl>
    <w:p>
      <w:pPr>
        <w:pStyle w:val="BodyText"/>
      </w:pPr>
      <w:r>
        <w:t xml:space="preserve">The market’s numbers are close to KLA’s guidance midpoint. A modest headline beat is therefore likely less important than the</w:t>
      </w:r>
      <w:r>
        <w:t xml:space="preserve"> </w:t>
      </w:r>
      <w:r>
        <w:rPr>
          <w:b/>
          <w:bCs/>
        </w:rPr>
        <w:t xml:space="preserve">September-quarter guide and full-calendar-year commentary</w:t>
      </w:r>
      <w:r>
        <w:t xml:space="preserve">.</w:t>
      </w:r>
    </w:p>
    <w:p>
      <w:pPr>
        <w:pStyle w:val="BodyText"/>
      </w:pPr>
      <w:r>
        <w:t xml:space="preserve">For context, the March quarter produced:</w:t>
      </w:r>
    </w:p>
    <w:p>
      <w:pPr>
        <w:pStyle w:val="Compact"/>
        <w:numPr>
          <w:ilvl w:val="0"/>
          <w:numId w:val="1002"/>
        </w:numPr>
      </w:pPr>
      <w:r>
        <w:t xml:space="preserve">Revenue of</w:t>
      </w:r>
      <w:r>
        <w:t xml:space="preserve"> </w:t>
      </w:r>
      <w:r>
        <w:rPr>
          <w:b/>
          <w:bCs/>
        </w:rPr>
        <w:t xml:space="preserve">$3.415B</w:t>
      </w:r>
      <w:r>
        <w:t xml:space="preserve">, up 11% year over year;</w:t>
      </w:r>
    </w:p>
    <w:p>
      <w:pPr>
        <w:pStyle w:val="Compact"/>
        <w:numPr>
          <w:ilvl w:val="0"/>
          <w:numId w:val="1002"/>
        </w:numPr>
      </w:pPr>
      <w:r>
        <w:t xml:space="preserve">Non-GAAP EPS of</w:t>
      </w:r>
      <w:r>
        <w:t xml:space="preserve"> </w:t>
      </w:r>
      <w:r>
        <w:rPr>
          <w:b/>
          <w:bCs/>
        </w:rPr>
        <w:t xml:space="preserve">$0.94 split-adjusted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Non-GAAP gross margin of</w:t>
      </w:r>
      <w:r>
        <w:t xml:space="preserve"> </w:t>
      </w:r>
      <w:r>
        <w:rPr>
          <w:b/>
          <w:bCs/>
        </w:rPr>
        <w:t xml:space="preserve">62.2%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Semiconductor Process Control revenue of</w:t>
      </w:r>
      <w:r>
        <w:t xml:space="preserve"> </w:t>
      </w:r>
      <w:r>
        <w:rPr>
          <w:b/>
          <w:bCs/>
        </w:rPr>
        <w:t xml:space="preserve">$3.084B</w:t>
      </w:r>
      <w:r>
        <w:t xml:space="preserve">, up 13%;</w:t>
      </w:r>
    </w:p>
    <w:p>
      <w:pPr>
        <w:pStyle w:val="Compact"/>
        <w:numPr>
          <w:ilvl w:val="0"/>
          <w:numId w:val="1002"/>
        </w:numPr>
      </w:pPr>
      <w:r>
        <w:t xml:space="preserve">Service revenue of</w:t>
      </w:r>
      <w:r>
        <w:t xml:space="preserve"> </w:t>
      </w:r>
      <w:r>
        <w:rPr>
          <w:b/>
          <w:bCs/>
        </w:rPr>
        <w:t xml:space="preserve">$775M</w:t>
      </w:r>
      <w:r>
        <w:t xml:space="preserve">, up 16%; and</w:t>
      </w:r>
    </w:p>
    <w:p>
      <w:pPr>
        <w:pStyle w:val="Compact"/>
        <w:numPr>
          <w:ilvl w:val="0"/>
          <w:numId w:val="1002"/>
        </w:numPr>
      </w:pPr>
      <w:r>
        <w:t xml:space="preserve">Trailing-12-month free cash flow of approximately</w:t>
      </w:r>
      <w:r>
        <w:t xml:space="preserve"> </w:t>
      </w:r>
      <w:r>
        <w:rPr>
          <w:b/>
          <w:bCs/>
        </w:rPr>
        <w:t xml:space="preserve">$4.0B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X71801e16676624b20fbf0d566b6b4f8e89d51d4"/>
    <w:p>
      <w:pPr>
        <w:pStyle w:val="Heading2"/>
      </w:pPr>
      <w:r>
        <w:t xml:space="preserve">The most important issue: how large is the September guide?</w:t>
      </w:r>
    </w:p>
    <w:p>
      <w:pPr>
        <w:pStyle w:val="FirstParagraph"/>
      </w:pPr>
      <w:r>
        <w:t xml:space="preserve">Last quarter, management said it expected:</w:t>
      </w:r>
    </w:p>
    <w:p>
      <w:pPr>
        <w:pStyle w:val="Compact"/>
        <w:numPr>
          <w:ilvl w:val="0"/>
          <w:numId w:val="1003"/>
        </w:numPr>
      </w:pPr>
      <w:r>
        <w:t xml:space="preserve">Sequential revenue growth throughout calendar 2026;</w:t>
      </w:r>
    </w:p>
    <w:p>
      <w:pPr>
        <w:pStyle w:val="Compact"/>
        <w:numPr>
          <w:ilvl w:val="0"/>
          <w:numId w:val="1003"/>
        </w:numPr>
      </w:pPr>
      <w:r>
        <w:t xml:space="preserve">High-teens total-company revenue growth for calendar 2026;</w:t>
      </w:r>
    </w:p>
    <w:p>
      <w:pPr>
        <w:pStyle w:val="Compact"/>
        <w:numPr>
          <w:ilvl w:val="0"/>
          <w:numId w:val="1003"/>
        </w:numPr>
      </w:pPr>
      <w:r>
        <w:t xml:space="preserve">More than 20% growth in Semiconductor Process Control systems;</w:t>
      </w:r>
    </w:p>
    <w:p>
      <w:pPr>
        <w:pStyle w:val="Compact"/>
        <w:numPr>
          <w:ilvl w:val="0"/>
          <w:numId w:val="1003"/>
        </w:numPr>
      </w:pPr>
      <w:r>
        <w:t xml:space="preserve">Second-half revenue approximately 15%–20% above the first half; and</w:t>
      </w:r>
    </w:p>
    <w:p>
      <w:pPr>
        <w:pStyle w:val="Compact"/>
        <w:numPr>
          <w:ilvl w:val="0"/>
          <w:numId w:val="1003"/>
        </w:numPr>
      </w:pPr>
      <w:r>
        <w:t xml:space="preserve">Strong momentum carrying into 2027.</w:t>
      </w:r>
    </w:p>
    <w:p>
      <w:pPr>
        <w:pStyle w:val="FirstParagraph"/>
      </w:pPr>
      <w:r>
        <w:t xml:space="preserve">Using the March result and June guidance, first-half calendar 2026 revenue is approximately</w:t>
      </w:r>
      <w:r>
        <w:t xml:space="preserve"> </w:t>
      </w:r>
      <m:oMath>
        <m:r>
          <m:t>7.0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A</m:t>
        </m:r>
        <m:r>
          <m:t>15</m:t>
        </m:r>
      </m:oMath>
      <w:r>
        <w:rPr>
          <w:b/>
          <w:bCs/>
        </w:rPr>
        <w:t xml:space="preserve">8.0B–</w:t>
      </w:r>
      <m:oMath>
        <m:r>
          <m:t>8.4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a</m:t>
        </m:r>
        <m:r>
          <m:t>c</m:t>
        </m:r>
        <m:r>
          <m:t>r</m:t>
        </m:r>
        <m:r>
          <m:t>o</m:t>
        </m:r>
        <m:r>
          <m:t>s</m:t>
        </m:r>
        <m:r>
          <m:t>s</m:t>
        </m:r>
        <m:r>
          <m:t>t</m:t>
        </m:r>
        <m:r>
          <m:t>h</m:t>
        </m:r>
        <m:r>
          <m:t>e</m:t>
        </m:r>
        <m:r>
          <m:t>S</m:t>
        </m:r>
        <m:r>
          <m:t>e</m:t>
        </m:r>
        <m:r>
          <m:t>p</m:t>
        </m:r>
        <m:r>
          <m:t>t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a</m:t>
        </m:r>
        <m:r>
          <m:t>n</m:t>
        </m:r>
        <m:r>
          <m:t>d</m:t>
        </m:r>
        <m:r>
          <m:t>D</m:t>
        </m:r>
        <m:r>
          <m:t>e</m:t>
        </m:r>
        <m:r>
          <m:t>c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s</m:t>
        </m:r>
        <m:r>
          <m:rPr>
            <m:sty m:val="p"/>
          </m:rPr>
          <m:t>,</m:t>
        </m:r>
        <m:r>
          <m:t>o</m:t>
        </m:r>
        <m:r>
          <m:t>r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r</m:t>
        </m:r>
        <m:r>
          <m:t>u</m:t>
        </m:r>
        <m:r>
          <m:t>n</m:t>
        </m:r>
        <m:r>
          <m:t>r</m:t>
        </m:r>
        <m:r>
          <m:t>a</m:t>
        </m:r>
        <m:r>
          <m:t>t</m:t>
        </m:r>
        <m:r>
          <m:t>e</m:t>
        </m:r>
        <m:r>
          <m:t>o</m:t>
        </m:r>
        <m:r>
          <m:t>f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4.0B–$4.2B</w:t>
      </w:r>
      <w:r>
        <w:t xml:space="preserve">.</w:t>
      </w:r>
    </w:p>
    <w:p>
      <w:pPr>
        <w:pStyle w:val="BodyText"/>
      </w:pPr>
      <w:r>
        <w:t xml:space="preserve">That makes the September outlook the cleanest test of the thesis: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Around or above $4.0B:</w:t>
      </w:r>
      <w:r>
        <w:t xml:space="preserve"> </w:t>
      </w:r>
      <w:r>
        <w:t xml:space="preserve">Supports the acceleration narrative.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Approximately</w:t>
      </w:r>
      <w:r>
        <w:rPr>
          <w:b/>
          <w:bCs/>
        </w:rPr>
        <w:t xml:space="preserve"> </w:t>
      </w:r>
      <m:oMath>
        <m:r>
          <m:t>3.8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4.0B:</w:t>
      </w:r>
      <w:r>
        <w:t xml:space="preserve"> </w:t>
      </w:r>
      <w:r>
        <w:t xml:space="preserve">Probably adequate if December visibility remains strong.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Below roughly $3.8B:</w:t>
      </w:r>
      <w:r>
        <w:t xml:space="preserve"> </w:t>
      </w:r>
      <w:r>
        <w:t xml:space="preserve">Would raise questions about timing, supply constraints, or the high-teens calendar-year growth framework.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Near the June-quarter level:</w:t>
      </w:r>
      <w:r>
        <w:t xml:space="preserve"> </w:t>
      </w:r>
      <w:r>
        <w:t xml:space="preserve">Would be a meaningful disappointment even if fiscal Q4 itself beats.</w:t>
      </w:r>
    </w:p>
    <w:p>
      <w:pPr>
        <w:pStyle w:val="FirstParagraph"/>
      </w:pPr>
      <w:r>
        <w:t xml:space="preserve">Investors should pay particular attention to whether management describes any shortfall as a demand issue, a customer clean-room timing issue, or KLA’s own supply constraint. Those explanations have very different implications for 2027.</w:t>
      </w:r>
    </w:p>
    <w:p>
      <w:r>
        <w:pict>
          <v:rect style="width:0;height:1.5pt" o:hralign="center" o:hrstd="t" o:hr="t"/>
        </w:pict>
      </w:r>
    </w:p>
    <w:bookmarkEnd w:id="11"/>
    <w:bookmarkStart w:id="12" w:name="X8d993a20d10e72b643aaef21c4490d46ea6c22b"/>
    <w:p>
      <w:pPr>
        <w:pStyle w:val="Heading2"/>
      </w:pPr>
      <w:r>
        <w:t xml:space="preserve">Advanced packaging has become a major earnings driver</w:t>
      </w:r>
    </w:p>
    <w:p>
      <w:pPr>
        <w:pStyle w:val="FirstParagraph"/>
      </w:pPr>
      <w:r>
        <w:t xml:space="preserve">The sharpest positive revision last quarter concerned advanced packaging. KLA increased its expected 2026 Semiconductor Process Control revenue from advanced packaging to approximately</w:t>
      </w:r>
      <w:r>
        <w:t xml:space="preserve"> </w:t>
      </w:r>
      <m:oMath>
        <m:r>
          <m:t>1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635M in 2025</w:t>
      </w:r>
      <w:r>
        <w:t xml:space="preserve">—growth in the high-50% range.</w:t>
      </w:r>
    </w:p>
    <w:p>
      <w:pPr>
        <w:pStyle w:val="BodyText"/>
      </w:pPr>
      <w:r>
        <w:t xml:space="preserve">Management attributed the acceleration to:</w:t>
      </w:r>
    </w:p>
    <w:p>
      <w:pPr>
        <w:pStyle w:val="Compact"/>
        <w:numPr>
          <w:ilvl w:val="0"/>
          <w:numId w:val="1005"/>
        </w:numPr>
      </w:pPr>
      <w:r>
        <w:t xml:space="preserve">Additional customer capacity requirements;</w:t>
      </w:r>
    </w:p>
    <w:p>
      <w:pPr>
        <w:pStyle w:val="Compact"/>
        <w:numPr>
          <w:ilvl w:val="0"/>
          <w:numId w:val="1005"/>
        </w:numPr>
      </w:pPr>
      <w:r>
        <w:t xml:space="preserve">Stronger adoption in CoWoS-type packaging;</w:t>
      </w:r>
    </w:p>
    <w:p>
      <w:pPr>
        <w:pStyle w:val="Compact"/>
        <w:numPr>
          <w:ilvl w:val="0"/>
          <w:numId w:val="1005"/>
        </w:numPr>
      </w:pPr>
      <w:r>
        <w:t xml:space="preserve">Emerging SoIC and hybrid-bonding applications;</w:t>
      </w:r>
    </w:p>
    <w:p>
      <w:pPr>
        <w:pStyle w:val="Compact"/>
        <w:numPr>
          <w:ilvl w:val="0"/>
          <w:numId w:val="1005"/>
        </w:numPr>
      </w:pPr>
      <w:r>
        <w:t xml:space="preserve">Tighter inspection specifications;</w:t>
      </w:r>
    </w:p>
    <w:p>
      <w:pPr>
        <w:pStyle w:val="Compact"/>
        <w:numPr>
          <w:ilvl w:val="0"/>
          <w:numId w:val="1005"/>
        </w:numPr>
      </w:pPr>
      <w:r>
        <w:t xml:space="preserve">Greater use of front-end-like process-control tools in packaging; and</w:t>
      </w:r>
    </w:p>
    <w:p>
      <w:pPr>
        <w:pStyle w:val="Compact"/>
        <w:numPr>
          <w:ilvl w:val="0"/>
          <w:numId w:val="1005"/>
        </w:numPr>
      </w:pPr>
      <w:r>
        <w:t xml:space="preserve">KLA’s market-share gains.</w:t>
      </w:r>
    </w:p>
    <w:p>
      <w:pPr>
        <w:pStyle w:val="FirstParagraph"/>
      </w:pPr>
      <w:r>
        <w:t xml:space="preserve">This forecast was raised substantially in only about 90 days, and management said the growth would be weighted toward the second half of 2026. Consequently, investors should look for:</w:t>
      </w:r>
    </w:p>
    <w:p>
      <w:pPr>
        <w:pStyle w:val="Compact"/>
        <w:numPr>
          <w:ilvl w:val="0"/>
          <w:numId w:val="1006"/>
        </w:numPr>
      </w:pPr>
      <w:r>
        <w:t xml:space="preserve">Confirmation that the</w:t>
      </w:r>
      <w:r>
        <w:t xml:space="preserve"> </w:t>
      </w:r>
      <w:r>
        <w:rPr>
          <w:b/>
          <w:bCs/>
        </w:rPr>
        <w:t xml:space="preserve">$1B target remains intact or moves higher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Evidence that the acceleration is not simply near-term order pull-forward;</w:t>
      </w:r>
    </w:p>
    <w:p>
      <w:pPr>
        <w:pStyle w:val="Compact"/>
        <w:numPr>
          <w:ilvl w:val="0"/>
          <w:numId w:val="1006"/>
        </w:numPr>
      </w:pPr>
      <w:r>
        <w:t xml:space="preserve">Commentary on customer and application diversification;</w:t>
      </w:r>
    </w:p>
    <w:p>
      <w:pPr>
        <w:pStyle w:val="Compact"/>
        <w:numPr>
          <w:ilvl w:val="0"/>
          <w:numId w:val="1006"/>
        </w:numPr>
      </w:pPr>
      <w:r>
        <w:t xml:space="preserve">Updates on hybrid bonding and panel-level inspection; and</w:t>
      </w:r>
    </w:p>
    <w:p>
      <w:pPr>
        <w:pStyle w:val="Compact"/>
        <w:numPr>
          <w:ilvl w:val="0"/>
          <w:numId w:val="1006"/>
        </w:numPr>
      </w:pPr>
      <w:r>
        <w:t xml:space="preserve">Whether packaging growth is becoming constrained by KLA’s capacity or customer facility readiness.</w:t>
      </w:r>
    </w:p>
    <w:p>
      <w:pPr>
        <w:pStyle w:val="FirstParagraph"/>
      </w:pPr>
      <w:r>
        <w:t xml:space="preserve">A strong packaging update could offset less impressive results elsewhere because it reinforces KLA’s claim that its addressable market and process-control intensity are expanding structurally.</w:t>
      </w:r>
    </w:p>
    <w:p>
      <w:r>
        <w:pict>
          <v:rect style="width:0;height:1.5pt" o:hralign="center" o:hrstd="t" o:hr="t"/>
        </w:pict>
      </w:r>
    </w:p>
    <w:bookmarkEnd w:id="12"/>
    <w:bookmarkStart w:id="16" w:name="X8082010ae82f7b5eabfbab0ad4c26e52e1bbdc1"/>
    <w:p>
      <w:pPr>
        <w:pStyle w:val="Heading2"/>
      </w:pPr>
      <w:r>
        <w:t xml:space="preserve">Gross margin may be the hardest metric to beat</w:t>
      </w:r>
    </w:p>
    <w:p>
      <w:pPr>
        <w:pStyle w:val="FirstParagraph"/>
      </w:pPr>
      <w:r>
        <w:t xml:space="preserve">KLA guided fiscal Q4 non-GAAP gross margin to</w:t>
      </w:r>
      <w:r>
        <w:t xml:space="preserve"> </w:t>
      </w:r>
      <w:r>
        <w:rPr>
          <w:b/>
          <w:bCs/>
        </w:rPr>
        <w:t xml:space="preserve">61.75%</w:t>
      </w:r>
      <w:r>
        <w:t xml:space="preserve">, down from 62.2% in March. Management identified two principal headwinds:</w:t>
      </w:r>
    </w:p>
    <w:bookmarkStart w:id="13" w:name="X2f6032b06ec20f365c19e03e17e4e6b0ddcf343"/>
    <w:p>
      <w:pPr>
        <w:pStyle w:val="Heading3"/>
      </w:pPr>
      <w:r>
        <w:t xml:space="preserve">1. Elevated DRAM component costs</w:t>
      </w:r>
    </w:p>
    <w:p>
      <w:pPr>
        <w:pStyle w:val="FirstParagraph"/>
      </w:pPr>
      <w:r>
        <w:t xml:space="preserve">KLA uses substantial amounts of memory in the image-processing computers attached to its inspection systems. Higher DRAM prices are expected to reduce gross margin by approximately</w:t>
      </w:r>
      <w:r>
        <w:t xml:space="preserve"> </w:t>
      </w:r>
      <w:r>
        <w:rPr>
          <w:b/>
          <w:bCs/>
        </w:rPr>
        <w:t xml:space="preserve">100 basis points</w:t>
      </w:r>
      <w:r>
        <w:t xml:space="preserve"> </w:t>
      </w:r>
      <w:r>
        <w:t xml:space="preserve">over several quarters.</w:t>
      </w:r>
    </w:p>
    <w:p>
      <w:pPr>
        <w:pStyle w:val="BodyText"/>
      </w:pPr>
      <w:r>
        <w:t xml:space="preserve">KLA says it has secured enough component supply to support its build plan through 2027, limiting shipment risk. The issue is therefore primarily cost rather than availability.</w:t>
      </w:r>
    </w:p>
    <w:bookmarkEnd w:id="13"/>
    <w:bookmarkStart w:id="14" w:name="Xd9e643209c818fb3f2a99cd5941d3dba0845174"/>
    <w:p>
      <w:pPr>
        <w:pStyle w:val="Heading3"/>
      </w:pPr>
      <w:r>
        <w:t xml:space="preserve">2. Tariffs</w:t>
      </w:r>
    </w:p>
    <w:p>
      <w:pPr>
        <w:pStyle w:val="FirstParagraph"/>
      </w:pPr>
      <w:r>
        <w:t xml:space="preserve">Management previously estimated a</w:t>
      </w:r>
      <w:r>
        <w:t xml:space="preserve"> </w:t>
      </w:r>
      <w:r>
        <w:rPr>
          <w:b/>
          <w:bCs/>
        </w:rPr>
        <w:t xml:space="preserve">50–100 basis-point</w:t>
      </w:r>
      <w:r>
        <w:t xml:space="preserve"> </w:t>
      </w:r>
      <w:r>
        <w:t xml:space="preserve">tariff impact, with the current effect toward the middle or upper end of that range. Operational mitigation should bring the impact closer to the lower end over time.</w:t>
      </w:r>
    </w:p>
    <w:p>
      <w:pPr>
        <w:pStyle w:val="BodyText"/>
      </w:pPr>
      <w:r>
        <w:t xml:space="preserve">KLA maintained a calendar 2026 gross-margin framework of approximately</w:t>
      </w:r>
      <w:r>
        <w:t xml:space="preserve"> </w:t>
      </w:r>
      <w:r>
        <w:rPr>
          <w:b/>
          <w:bCs/>
        </w:rPr>
        <w:t xml:space="preserve">62%, plus or minus 50 basis points</w:t>
      </w:r>
      <w:r>
        <w:t xml:space="preserve">.</w:t>
      </w:r>
    </w:p>
    <w:bookmarkEnd w:id="14"/>
    <w:bookmarkStart w:id="15" w:name="what-would-constitute-a-good-result"/>
    <w:p>
      <w:pPr>
        <w:pStyle w:val="Heading3"/>
      </w:pPr>
      <w:r>
        <w:t xml:space="preserve">What would constitute a good result?</w:t>
      </w:r>
    </w:p>
    <w:p>
      <w:pPr>
        <w:pStyle w:val="Compact"/>
        <w:numPr>
          <w:ilvl w:val="0"/>
          <w:numId w:val="1007"/>
        </w:numPr>
      </w:pPr>
      <w:r>
        <w:t xml:space="preserve">Gross margin near or above</w:t>
      </w:r>
      <w:r>
        <w:t xml:space="preserve"> </w:t>
      </w:r>
      <w:r>
        <w:rPr>
          <w:b/>
          <w:bCs/>
        </w:rPr>
        <w:t xml:space="preserve">61.75%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September guidance that stays close to</w:t>
      </w:r>
      <w:r>
        <w:t xml:space="preserve"> </w:t>
      </w:r>
      <w:r>
        <w:rPr>
          <w:b/>
          <w:bCs/>
        </w:rPr>
        <w:t xml:space="preserve">62%</w:t>
      </w:r>
      <w:r>
        <w:t xml:space="preserve"> </w:t>
      </w:r>
      <w:r>
        <w:t xml:space="preserve">despite higher volume;</w:t>
      </w:r>
    </w:p>
    <w:p>
      <w:pPr>
        <w:pStyle w:val="Compact"/>
        <w:numPr>
          <w:ilvl w:val="0"/>
          <w:numId w:val="1007"/>
        </w:numPr>
      </w:pPr>
      <w:r>
        <w:t xml:space="preserve">No incremental deterioration in memory-component costs;</w:t>
      </w:r>
    </w:p>
    <w:p>
      <w:pPr>
        <w:pStyle w:val="Compact"/>
        <w:numPr>
          <w:ilvl w:val="0"/>
          <w:numId w:val="1007"/>
        </w:numPr>
      </w:pPr>
      <w:r>
        <w:t xml:space="preserve">Evidence that tariff mitigation is working; and</w:t>
      </w:r>
    </w:p>
    <w:p>
      <w:pPr>
        <w:pStyle w:val="Compact"/>
        <w:numPr>
          <w:ilvl w:val="0"/>
          <w:numId w:val="1007"/>
        </w:numPr>
      </w:pPr>
      <w:r>
        <w:t xml:space="preserve">Confidence that mix, pricing and manufacturing leverage can offset current headwinds.</w:t>
      </w:r>
    </w:p>
    <w:p>
      <w:pPr>
        <w:pStyle w:val="FirstParagraph"/>
      </w:pPr>
      <w:r>
        <w:t xml:space="preserve">Investors may tolerate a small margin miss if revenue and backlog are materially stronger. A weak margin outlook combined with merely in-line revenue would be more concerning.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foundrylogic-hbm-and-yield-optimization"/>
    <w:p>
      <w:pPr>
        <w:pStyle w:val="Heading2"/>
      </w:pPr>
      <w:r>
        <w:t xml:space="preserve">Foundry/logic, HBM and yield optimization</w:t>
      </w:r>
    </w:p>
    <w:p>
      <w:pPr>
        <w:pStyle w:val="FirstParagraph"/>
      </w:pPr>
      <w:r>
        <w:t xml:space="preserve">For the June quarter, KLA forecast that foundry/logic would represent approximately</w:t>
      </w:r>
      <w:r>
        <w:t xml:space="preserve"> </w:t>
      </w:r>
      <w:r>
        <w:rPr>
          <w:b/>
          <w:bCs/>
        </w:rPr>
        <w:t xml:space="preserve">82%</w:t>
      </w:r>
      <w:r>
        <w:t xml:space="preserve"> </w:t>
      </w:r>
      <w:r>
        <w:t xml:space="preserve">of Semiconductor Process Control systems revenue to semiconductor customers, with memory at about</w:t>
      </w:r>
      <w:r>
        <w:t xml:space="preserve"> </w:t>
      </w:r>
      <w:r>
        <w:rPr>
          <w:b/>
          <w:bCs/>
        </w:rPr>
        <w:t xml:space="preserve">18%</w:t>
      </w:r>
      <w:r>
        <w:t xml:space="preserve">. Within memory, DRAM was expected to account for roughly</w:t>
      </w:r>
      <w:r>
        <w:t xml:space="preserve"> </w:t>
      </w:r>
      <w:r>
        <w:rPr>
          <w:b/>
          <w:bCs/>
        </w:rPr>
        <w:t xml:space="preserve">84%</w:t>
      </w:r>
      <w:r>
        <w:t xml:space="preserve">, reflecting the importance of HBM.</w:t>
      </w:r>
    </w:p>
    <w:p>
      <w:pPr>
        <w:pStyle w:val="BodyText"/>
      </w:pPr>
      <w:r>
        <w:t xml:space="preserve">The favorable part of KLA’s positioning is that AI infrastructure investment is benefiting several parts of the portfolio simultaneously:</w:t>
      </w:r>
    </w:p>
    <w:p>
      <w:pPr>
        <w:pStyle w:val="Compact"/>
        <w:numPr>
          <w:ilvl w:val="0"/>
          <w:numId w:val="1008"/>
        </w:numPr>
      </w:pPr>
      <w:r>
        <w:t xml:space="preserve">Larger and more valuable logic dies require more inspection;</w:t>
      </w:r>
    </w:p>
    <w:p>
      <w:pPr>
        <w:pStyle w:val="Compact"/>
        <w:numPr>
          <w:ilvl w:val="0"/>
          <w:numId w:val="1008"/>
        </w:numPr>
      </w:pPr>
      <w:r>
        <w:t xml:space="preserve">More custom silicon means additional designs and process flows;</w:t>
      </w:r>
    </w:p>
    <w:p>
      <w:pPr>
        <w:pStyle w:val="Compact"/>
        <w:numPr>
          <w:ilvl w:val="0"/>
          <w:numId w:val="1008"/>
        </w:numPr>
      </w:pPr>
      <w:r>
        <w:t xml:space="preserve">HBM contains more logic-like content and has tighter reliability requirements;</w:t>
      </w:r>
    </w:p>
    <w:p>
      <w:pPr>
        <w:pStyle w:val="Compact"/>
        <w:numPr>
          <w:ilvl w:val="0"/>
          <w:numId w:val="1008"/>
        </w:numPr>
      </w:pPr>
      <w:r>
        <w:t xml:space="preserve">EUV adoption in DRAM creates additional inspection applications;</w:t>
      </w:r>
    </w:p>
    <w:p>
      <w:pPr>
        <w:pStyle w:val="Compact"/>
        <w:numPr>
          <w:ilvl w:val="0"/>
          <w:numId w:val="1008"/>
        </w:numPr>
      </w:pPr>
      <w:r>
        <w:t xml:space="preserve">Advanced packaging requires increasingly front-end-like process control; and</w:t>
      </w:r>
    </w:p>
    <w:p>
      <w:pPr>
        <w:pStyle w:val="Compact"/>
        <w:numPr>
          <w:ilvl w:val="0"/>
          <w:numId w:val="1008"/>
        </w:numPr>
      </w:pPr>
      <w:r>
        <w:t xml:space="preserve">Tight semiconductor supply encourages customers to improve yields in existing fabs.</w:t>
      </w:r>
    </w:p>
    <w:p>
      <w:pPr>
        <w:pStyle w:val="FirstParagraph"/>
      </w:pPr>
      <w:r>
        <w:t xml:space="preserve">The last point is particularly important. Management said customers are adding process-control capacity not only during R&amp;D and initial fab ramps, but also in high-volume manufacturing to extract more output from constrained existing capacity. If confirmed, that would make KLA less dependent on the timing of new fab construction.</w:t>
      </w:r>
    </w:p>
    <w:p>
      <w:r>
        <w:pict>
          <v:rect style="width:0;height:1.5pt" o:hralign="center" o:hrstd="t" o:hr="t"/>
        </w:pict>
      </w:r>
    </w:p>
    <w:bookmarkEnd w:id="17"/>
    <w:bookmarkStart w:id="20" w:name="X961e2b96a2497389f7c7b89337ad10a7a8bf1f6"/>
    <w:p>
      <w:pPr>
        <w:pStyle w:val="Heading2"/>
      </w:pPr>
      <w:r>
        <w:t xml:space="preserve">The 2027 outlook may move the stock more than fiscal Q4</w:t>
      </w:r>
    </w:p>
    <w:p>
      <w:pPr>
        <w:pStyle w:val="FirstParagraph"/>
      </w:pPr>
      <w:r>
        <w:t xml:space="preserve">In April, KLA raised its 2026 wafer-fab-equipment outlook—including advanced packaging—to</w:t>
      </w:r>
      <w:r>
        <w:t xml:space="preserve"> </w:t>
      </w:r>
      <w:r>
        <w:rPr>
          <w:b/>
          <w:bCs/>
        </w:rPr>
        <w:t xml:space="preserve">more than $140B</w:t>
      </w:r>
      <w:r>
        <w:t xml:space="preserve">. More unusually, management said it expected the industry’s</w:t>
      </w:r>
      <w:r>
        <w:t xml:space="preserve"> </w:t>
      </w:r>
      <w:r>
        <w:rPr>
          <w:b/>
          <w:bCs/>
        </w:rPr>
        <w:t xml:space="preserve">2027 year-over-year growth rate to exceed 2026’s growth rate</w:t>
      </w:r>
      <w:r>
        <w:t xml:space="preserve">.</w:t>
      </w:r>
    </w:p>
    <w:p>
      <w:pPr>
        <w:pStyle w:val="BodyText"/>
      </w:pPr>
      <w:r>
        <w:t xml:space="preserve">Management described:</w:t>
      </w:r>
    </w:p>
    <w:p>
      <w:pPr>
        <w:pStyle w:val="Compact"/>
        <w:numPr>
          <w:ilvl w:val="0"/>
          <w:numId w:val="1009"/>
        </w:numPr>
      </w:pPr>
      <w:r>
        <w:t xml:space="preserve">Broad-based order strength;</w:t>
      </w:r>
    </w:p>
    <w:p>
      <w:pPr>
        <w:pStyle w:val="Compact"/>
        <w:numPr>
          <w:ilvl w:val="0"/>
          <w:numId w:val="1009"/>
        </w:numPr>
      </w:pPr>
      <w:r>
        <w:t xml:space="preserve">Growing systems backlog and sales funnel;</w:t>
      </w:r>
    </w:p>
    <w:p>
      <w:pPr>
        <w:pStyle w:val="Compact"/>
        <w:numPr>
          <w:ilvl w:val="0"/>
          <w:numId w:val="1009"/>
        </w:numPr>
      </w:pPr>
      <w:r>
        <w:t xml:space="preserve">Customers competing for shipment slots;</w:t>
      </w:r>
    </w:p>
    <w:p>
      <w:pPr>
        <w:pStyle w:val="Compact"/>
        <w:numPr>
          <w:ilvl w:val="0"/>
          <w:numId w:val="1009"/>
        </w:numPr>
      </w:pPr>
      <w:r>
        <w:t xml:space="preserve">Greenfield foundry/logic and memory fabs;</w:t>
      </w:r>
    </w:p>
    <w:p>
      <w:pPr>
        <w:pStyle w:val="Compact"/>
        <w:numPr>
          <w:ilvl w:val="0"/>
          <w:numId w:val="1009"/>
        </w:numPr>
      </w:pPr>
      <w:r>
        <w:t xml:space="preserve">Additional NAND investment;</w:t>
      </w:r>
    </w:p>
    <w:p>
      <w:pPr>
        <w:pStyle w:val="Compact"/>
        <w:numPr>
          <w:ilvl w:val="0"/>
          <w:numId w:val="1009"/>
        </w:numPr>
      </w:pPr>
      <w:r>
        <w:t xml:space="preserve">Higher process-control intensity in memory; and</w:t>
      </w:r>
    </w:p>
    <w:p>
      <w:pPr>
        <w:pStyle w:val="Compact"/>
        <w:numPr>
          <w:ilvl w:val="0"/>
          <w:numId w:val="1009"/>
        </w:numPr>
      </w:pPr>
      <w:r>
        <w:t xml:space="preserve">Unprecedented customer visibility.</w:t>
      </w:r>
    </w:p>
    <w:p>
      <w:pPr>
        <w:pStyle w:val="FirstParagraph"/>
      </w:pPr>
      <w:r>
        <w:t xml:space="preserve">Investors should listen carefully for changes in wording:</w:t>
      </w:r>
    </w:p>
    <w:bookmarkStart w:id="18" w:name="bullish-confirmation"/>
    <w:p>
      <w:pPr>
        <w:pStyle w:val="Heading3"/>
      </w:pPr>
      <w:r>
        <w:t xml:space="preserve">Bullish confirmation</w:t>
      </w:r>
    </w:p>
    <w:p>
      <w:pPr>
        <w:pStyle w:val="Compact"/>
        <w:numPr>
          <w:ilvl w:val="0"/>
          <w:numId w:val="1010"/>
        </w:numPr>
      </w:pPr>
      <w:r>
        <w:t xml:space="preserve">2027 growth remains above 2026;</w:t>
      </w:r>
    </w:p>
    <w:p>
      <w:pPr>
        <w:pStyle w:val="Compact"/>
        <w:numPr>
          <w:ilvl w:val="0"/>
          <w:numId w:val="1010"/>
        </w:numPr>
      </w:pPr>
      <w:r>
        <w:t xml:space="preserve">Order and slot-planning activity has strengthened;</w:t>
      </w:r>
    </w:p>
    <w:p>
      <w:pPr>
        <w:pStyle w:val="Compact"/>
        <w:numPr>
          <w:ilvl w:val="0"/>
          <w:numId w:val="1010"/>
        </w:numPr>
      </w:pPr>
      <w:r>
        <w:t xml:space="preserve">Backlog extends further into 2027;</w:t>
      </w:r>
    </w:p>
    <w:p>
      <w:pPr>
        <w:pStyle w:val="Compact"/>
        <w:numPr>
          <w:ilvl w:val="0"/>
          <w:numId w:val="1010"/>
        </w:numPr>
      </w:pPr>
      <w:r>
        <w:t xml:space="preserve">KLA has adequate supplier and installation capacity;</w:t>
      </w:r>
    </w:p>
    <w:p>
      <w:pPr>
        <w:pStyle w:val="Compact"/>
        <w:numPr>
          <w:ilvl w:val="0"/>
          <w:numId w:val="1010"/>
        </w:numPr>
      </w:pPr>
      <w:r>
        <w:t xml:space="preserve">Greenfield projects remain on schedule; and</w:t>
      </w:r>
    </w:p>
    <w:p>
      <w:pPr>
        <w:pStyle w:val="Compact"/>
        <w:numPr>
          <w:ilvl w:val="0"/>
          <w:numId w:val="1010"/>
        </w:numPr>
      </w:pPr>
      <w:r>
        <w:t xml:space="preserve">KLA still expects to outgrow the overall equipment market.</w:t>
      </w:r>
    </w:p>
    <w:bookmarkEnd w:id="18"/>
    <w:bookmarkStart w:id="19" w:name="warning-signs"/>
    <w:p>
      <w:pPr>
        <w:pStyle w:val="Heading3"/>
      </w:pPr>
      <w:r>
        <w:t xml:space="preserve">Warning signs</w:t>
      </w:r>
    </w:p>
    <w:p>
      <w:pPr>
        <w:pStyle w:val="Compact"/>
        <w:numPr>
          <w:ilvl w:val="0"/>
          <w:numId w:val="1011"/>
        </w:numPr>
      </w:pPr>
      <w:r>
        <w:t xml:space="preserve">More emphasis on “engagement” than firm orders;</w:t>
      </w:r>
    </w:p>
    <w:p>
      <w:pPr>
        <w:pStyle w:val="Compact"/>
        <w:numPr>
          <w:ilvl w:val="0"/>
          <w:numId w:val="1011"/>
        </w:numPr>
      </w:pPr>
      <w:r>
        <w:t xml:space="preserve">Customer requests to move delivery dates;</w:t>
      </w:r>
    </w:p>
    <w:p>
      <w:pPr>
        <w:pStyle w:val="Compact"/>
        <w:numPr>
          <w:ilvl w:val="0"/>
          <w:numId w:val="1011"/>
        </w:numPr>
      </w:pPr>
      <w:r>
        <w:t xml:space="preserve">Fab-construction or clean-room delays;</w:t>
      </w:r>
    </w:p>
    <w:p>
      <w:pPr>
        <w:pStyle w:val="Compact"/>
        <w:numPr>
          <w:ilvl w:val="0"/>
          <w:numId w:val="1011"/>
        </w:numPr>
      </w:pPr>
      <w:r>
        <w:t xml:space="preserve">A distinction between reserved capacity and committed demand;</w:t>
      </w:r>
    </w:p>
    <w:p>
      <w:pPr>
        <w:pStyle w:val="Compact"/>
        <w:numPr>
          <w:ilvl w:val="0"/>
          <w:numId w:val="1011"/>
        </w:numPr>
      </w:pPr>
      <w:r>
        <w:t xml:space="preserve">Increased supply-chain bottlenecks; or</w:t>
      </w:r>
    </w:p>
    <w:p>
      <w:pPr>
        <w:pStyle w:val="Compact"/>
        <w:numPr>
          <w:ilvl w:val="0"/>
          <w:numId w:val="1011"/>
        </w:numPr>
      </w:pPr>
      <w:r>
        <w:t xml:space="preserve">Less confidence in 2027’s growth rate.</w:t>
      </w:r>
    </w:p>
    <w:p>
      <w:pPr>
        <w:pStyle w:val="FirstParagraph"/>
      </w:pPr>
      <w:r>
        <w:t xml:space="preserve">The current thesis assumes that customer urgency represents genuine long-term equipment demand, not precautionary over-ordering.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6c70e423193c673c1beaad9b0fc336026ffd9e5"/>
    <w:p>
      <w:pPr>
        <w:pStyle w:val="Heading2"/>
      </w:pPr>
      <w:r>
        <w:t xml:space="preserve">Service remains an underappreciated stabilizer</w:t>
      </w:r>
    </w:p>
    <w:p>
      <w:pPr>
        <w:pStyle w:val="FirstParagraph"/>
      </w:pPr>
      <w:r>
        <w:t xml:space="preserve">Service accounted for roughly</w:t>
      </w:r>
      <w:r>
        <w:t xml:space="preserve"> </w:t>
      </w:r>
      <w:r>
        <w:rPr>
          <w:b/>
          <w:bCs/>
        </w:rPr>
        <w:t xml:space="preserve">23% of March-quarter revenue</w:t>
      </w:r>
      <w:r>
        <w:t xml:space="preserve"> </w:t>
      </w:r>
      <w:r>
        <w:t xml:space="preserve">and grew 16% year over year. KLA has targeted a</w:t>
      </w:r>
      <w:r>
        <w:t xml:space="preserve"> </w:t>
      </w:r>
      <w:r>
        <w:rPr>
          <w:b/>
          <w:bCs/>
        </w:rPr>
        <w:t xml:space="preserve">13%–15% service revenue CAGR through 2030</w:t>
      </w:r>
      <w:r>
        <w:t xml:space="preserve">, potentially taking annual service revenue from approximately $3B in 2025 to nearly $6B.</w:t>
      </w:r>
    </w:p>
    <w:p>
      <w:pPr>
        <w:pStyle w:val="BodyText"/>
      </w:pPr>
      <w:r>
        <w:t xml:space="preserve">Its service economics benefit from:</w:t>
      </w:r>
    </w:p>
    <w:p>
      <w:pPr>
        <w:pStyle w:val="Compact"/>
        <w:numPr>
          <w:ilvl w:val="0"/>
          <w:numId w:val="1012"/>
        </w:numPr>
      </w:pPr>
      <w:r>
        <w:t xml:space="preserve">More than 57,000 installed tools;</w:t>
      </w:r>
    </w:p>
    <w:p>
      <w:pPr>
        <w:pStyle w:val="Compact"/>
        <w:numPr>
          <w:ilvl w:val="0"/>
          <w:numId w:val="1012"/>
        </w:numPr>
      </w:pPr>
      <w:r>
        <w:t xml:space="preserve">Increasing contract penetration;</w:t>
      </w:r>
    </w:p>
    <w:p>
      <w:pPr>
        <w:pStyle w:val="Compact"/>
        <w:numPr>
          <w:ilvl w:val="0"/>
          <w:numId w:val="1012"/>
        </w:numPr>
      </w:pPr>
      <w:r>
        <w:t xml:space="preserve">Tool lives that can extend beyond two decades;</w:t>
      </w:r>
    </w:p>
    <w:p>
      <w:pPr>
        <w:pStyle w:val="Compact"/>
        <w:numPr>
          <w:ilvl w:val="0"/>
          <w:numId w:val="1012"/>
        </w:numPr>
      </w:pPr>
      <w:r>
        <w:t xml:space="preserve">Higher service revenue per newer-generation tool;</w:t>
      </w:r>
    </w:p>
    <w:p>
      <w:pPr>
        <w:pStyle w:val="Compact"/>
        <w:numPr>
          <w:ilvl w:val="0"/>
          <w:numId w:val="1012"/>
        </w:numPr>
      </w:pPr>
      <w:r>
        <w:t xml:space="preserve">More demanding HBM and packaging applications; and</w:t>
      </w:r>
    </w:p>
    <w:p>
      <w:pPr>
        <w:pStyle w:val="Compact"/>
        <w:numPr>
          <w:ilvl w:val="0"/>
          <w:numId w:val="1012"/>
        </w:numPr>
      </w:pPr>
      <w:r>
        <w:t xml:space="preserve">Geographic fab expansion requiring additional local support.</w:t>
      </w:r>
    </w:p>
    <w:p>
      <w:pPr>
        <w:pStyle w:val="FirstParagraph"/>
      </w:pPr>
      <w:r>
        <w:t xml:space="preserve">Quarterly service revenue can be affected by recognition timing, so the more useful indicators are year-over-year growth, contract penetration and management’s full-year outlook. Continued growth near the mid-teens would support the quality and predictability of KLA’s earnings.</w:t>
      </w:r>
    </w:p>
    <w:p>
      <w:r>
        <w:pict>
          <v:rect style="width:0;height:1.5pt" o:hralign="center" o:hrstd="t" o:hr="t"/>
        </w:pict>
      </w:r>
    </w:p>
    <w:bookmarkEnd w:id="21"/>
    <w:bookmarkStart w:id="22" w:name="china-and-export-controls"/>
    <w:p>
      <w:pPr>
        <w:pStyle w:val="Heading2"/>
      </w:pPr>
      <w:r>
        <w:t xml:space="preserve">China and export controls</w:t>
      </w:r>
    </w:p>
    <w:p>
      <w:pPr>
        <w:pStyle w:val="FirstParagraph"/>
      </w:pPr>
      <w:r>
        <w:t xml:space="preserve">China remains a material exposure:</w:t>
      </w:r>
    </w:p>
    <w:p>
      <w:pPr>
        <w:pStyle w:val="Compact"/>
        <w:numPr>
          <w:ilvl w:val="0"/>
          <w:numId w:val="1013"/>
        </w:numPr>
      </w:pPr>
      <w:r>
        <w:t xml:space="preserve">It represented</w:t>
      </w:r>
      <w:r>
        <w:t xml:space="preserve"> </w:t>
      </w:r>
      <w:r>
        <w:rPr>
          <w:b/>
          <w:bCs/>
        </w:rPr>
        <w:t xml:space="preserve">24.3% of March-quarter revenue</w:t>
      </w:r>
      <w:r>
        <w:t xml:space="preserve">; and</w:t>
      </w:r>
    </w:p>
    <w:p>
      <w:pPr>
        <w:pStyle w:val="Compact"/>
        <w:numPr>
          <w:ilvl w:val="0"/>
          <w:numId w:val="1013"/>
        </w:numPr>
      </w:pPr>
      <w:r>
        <w:t xml:space="preserve">It represented</w:t>
      </w:r>
      <w:r>
        <w:t xml:space="preserve"> </w:t>
      </w:r>
      <w:r>
        <w:rPr>
          <w:b/>
          <w:bCs/>
        </w:rPr>
        <w:t xml:space="preserve">31.2% of revenue for the nine months ended March 2026</w:t>
      </w:r>
      <w:r>
        <w:t xml:space="preserve">.</w:t>
      </w:r>
    </w:p>
    <w:p>
      <w:pPr>
        <w:pStyle w:val="FirstParagraph"/>
      </w:pPr>
      <w:r>
        <w:t xml:space="preserve">KLA previously said China spending was broadly stable, but growing slower than the overall equipment market. A newly received restriction involving certain Hua Hong-related facilities was described as immaterial to the June-quarter guidance and 2026 outlook.</w:t>
      </w:r>
    </w:p>
    <w:p>
      <w:pPr>
        <w:pStyle w:val="BodyText"/>
      </w:pPr>
      <w:r>
        <w:t xml:space="preserve">Questions for the call include:</w:t>
      </w:r>
    </w:p>
    <w:p>
      <w:pPr>
        <w:pStyle w:val="Compact"/>
        <w:numPr>
          <w:ilvl w:val="0"/>
          <w:numId w:val="1014"/>
        </w:numPr>
      </w:pPr>
      <w:r>
        <w:t xml:space="preserve">Has the expected China revenue trajectory changed?</w:t>
      </w:r>
    </w:p>
    <w:p>
      <w:pPr>
        <w:pStyle w:val="Compact"/>
        <w:numPr>
          <w:ilvl w:val="0"/>
          <w:numId w:val="1014"/>
        </w:numPr>
      </w:pPr>
      <w:r>
        <w:t xml:space="preserve">Are new export restrictions affecting shipments, service or deposits?</w:t>
      </w:r>
    </w:p>
    <w:p>
      <w:pPr>
        <w:pStyle w:val="Compact"/>
        <w:numPr>
          <w:ilvl w:val="0"/>
          <w:numId w:val="1014"/>
        </w:numPr>
      </w:pPr>
      <w:r>
        <w:t xml:space="preserve">Can non-China leading-edge demand absorb weaker Chinese orders?</w:t>
      </w:r>
    </w:p>
    <w:p>
      <w:pPr>
        <w:pStyle w:val="Compact"/>
        <w:numPr>
          <w:ilvl w:val="0"/>
          <w:numId w:val="1014"/>
        </w:numPr>
      </w:pPr>
      <w:r>
        <w:t xml:space="preserve">Has local Chinese competition become more material?</w:t>
      </w:r>
    </w:p>
    <w:p>
      <w:pPr>
        <w:pStyle w:val="Compact"/>
        <w:numPr>
          <w:ilvl w:val="0"/>
          <w:numId w:val="1014"/>
        </w:numPr>
      </w:pPr>
      <w:r>
        <w:t xml:space="preserve">Are customs or licensing delays affecting revenue timing?</w:t>
      </w:r>
    </w:p>
    <w:p>
      <w:pPr>
        <w:pStyle w:val="FirstParagraph"/>
      </w:pPr>
      <w:r>
        <w:t xml:space="preserve">Given the strength of Korean memory, Taiwan foundry and North American investment, KLA may be able to grow despite a declining China mix. Nevertheless, abrupt regulatory changes remain one of the largest risks to the forecast.</w:t>
      </w:r>
    </w:p>
    <w:p>
      <w:r>
        <w:pict>
          <v:rect style="width:0;height:1.5pt" o:hralign="center" o:hrstd="t" o:hr="t"/>
        </w:pict>
      </w:r>
    </w:p>
    <w:bookmarkEnd w:id="22"/>
    <w:bookmarkStart w:id="23" w:name="capital-allocation-and-cash-generation"/>
    <w:p>
      <w:pPr>
        <w:pStyle w:val="Heading2"/>
      </w:pPr>
      <w:r>
        <w:t xml:space="preserve">Capital allocation and cash generation</w:t>
      </w:r>
    </w:p>
    <w:p>
      <w:pPr>
        <w:pStyle w:val="FirstParagraph"/>
      </w:pPr>
      <w:r>
        <w:t xml:space="preserve">KLA’s cash-generation profile remains a central part of the investment case:</w:t>
      </w:r>
    </w:p>
    <w:p>
      <w:pPr>
        <w:pStyle w:val="Compact"/>
        <w:numPr>
          <w:ilvl w:val="0"/>
          <w:numId w:val="1015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$4.0B</w:t>
      </w:r>
      <w:r>
        <w:t xml:space="preserve"> </w:t>
      </w:r>
      <w:r>
        <w:t xml:space="preserve">of trailing-12-month free cash flow as of March;</w:t>
      </w:r>
    </w:p>
    <w:p>
      <w:pPr>
        <w:pStyle w:val="Compact"/>
        <w:numPr>
          <w:ilvl w:val="0"/>
          <w:numId w:val="1015"/>
        </w:numPr>
      </w:pPr>
      <w:r>
        <w:t xml:space="preserve">A free-cash-flow margin near</w:t>
      </w:r>
      <w:r>
        <w:t xml:space="preserve"> </w:t>
      </w:r>
      <w:r>
        <w:rPr>
          <w:b/>
          <w:bCs/>
        </w:rPr>
        <w:t xml:space="preserve">31%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$875M</w:t>
      </w:r>
      <w:r>
        <w:t xml:space="preserve"> </w:t>
      </w:r>
      <w:r>
        <w:t xml:space="preserve">returned through repurchases and dividends in the March quarter;</w:t>
      </w:r>
    </w:p>
    <w:p>
      <w:pPr>
        <w:pStyle w:val="Compact"/>
        <w:numPr>
          <w:ilvl w:val="0"/>
          <w:numId w:val="1015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$10.3B</w:t>
      </w:r>
      <w:r>
        <w:t xml:space="preserve"> </w:t>
      </w:r>
      <w:r>
        <w:t xml:space="preserve">of remaining repurchase authorization as of March 31; and</w:t>
      </w:r>
    </w:p>
    <w:p>
      <w:pPr>
        <w:pStyle w:val="Compact"/>
        <w:numPr>
          <w:ilvl w:val="0"/>
          <w:numId w:val="1015"/>
        </w:numPr>
      </w:pPr>
      <w:r>
        <w:t xml:space="preserve">A target to return more than 90% of free cash flow over time.</w:t>
      </w:r>
    </w:p>
    <w:p>
      <w:pPr>
        <w:pStyle w:val="FirstParagraph"/>
      </w:pPr>
      <w:r>
        <w:t xml:space="preserve">Following the 10-for-1 split, the quarterly dividend is equivalent to</w:t>
      </w:r>
      <w:r>
        <w:t xml:space="preserve"> </w:t>
      </w:r>
      <w:r>
        <w:rPr>
          <w:b/>
          <w:bCs/>
        </w:rPr>
        <w:t xml:space="preserve">$0.23 per share</w:t>
      </w:r>
      <w:r>
        <w:t xml:space="preserve">. Capital allocation is unlikely to determine the immediate earnings reaction, but buybacks can provide meaningful EPS support if cash generation continues to scale.</w:t>
      </w:r>
    </w:p>
    <w:p>
      <w:r>
        <w:pict>
          <v:rect style="width:0;height:1.5pt" o:hralign="center" o:hrstd="t" o:hr="t"/>
        </w:pict>
      </w:r>
    </w:p>
    <w:bookmarkEnd w:id="23"/>
    <w:bookmarkStart w:id="27" w:name="scenario-framework"/>
    <w:p>
      <w:pPr>
        <w:pStyle w:val="Heading2"/>
      </w:pPr>
      <w:r>
        <w:t xml:space="preserve">Scenario framework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6"/>
        </w:numPr>
      </w:pPr>
      <w:r>
        <w:t xml:space="preserve">Revenue and EPS beat;</w:t>
      </w:r>
    </w:p>
    <w:p>
      <w:pPr>
        <w:pStyle w:val="Compact"/>
        <w:numPr>
          <w:ilvl w:val="0"/>
          <w:numId w:val="1016"/>
        </w:numPr>
      </w:pPr>
      <w:r>
        <w:t xml:space="preserve">September revenue guidance is near or above</w:t>
      </w:r>
      <w:r>
        <w:t xml:space="preserve"> </w:t>
      </w:r>
      <w:r>
        <w:rPr>
          <w:b/>
          <w:bCs/>
        </w:rPr>
        <w:t xml:space="preserve">$4B</w:t>
      </w:r>
      <w:r>
        <w:t xml:space="preserve">;</w:t>
      </w:r>
    </w:p>
    <w:p>
      <w:pPr>
        <w:pStyle w:val="Compact"/>
        <w:numPr>
          <w:ilvl w:val="0"/>
          <w:numId w:val="1016"/>
        </w:numPr>
      </w:pPr>
      <w:r>
        <w:t xml:space="preserve">Gross margin remains near</w:t>
      </w:r>
      <w:r>
        <w:t xml:space="preserve"> </w:t>
      </w:r>
      <w:r>
        <w:rPr>
          <w:b/>
          <w:bCs/>
        </w:rPr>
        <w:t xml:space="preserve">62%</w:t>
      </w:r>
      <w:r>
        <w:t xml:space="preserve">;</w:t>
      </w:r>
    </w:p>
    <w:p>
      <w:pPr>
        <w:pStyle w:val="Compact"/>
        <w:numPr>
          <w:ilvl w:val="0"/>
          <w:numId w:val="1016"/>
        </w:numPr>
      </w:pPr>
      <w:r>
        <w:t xml:space="preserve">Advanced-packaging expectations rise above $1B;</w:t>
      </w:r>
    </w:p>
    <w:p>
      <w:pPr>
        <w:pStyle w:val="Compact"/>
        <w:numPr>
          <w:ilvl w:val="0"/>
          <w:numId w:val="1016"/>
        </w:numPr>
      </w:pPr>
      <w:r>
        <w:t xml:space="preserve">Management raises or strengthens its calendar 2026 outlook;</w:t>
      </w:r>
    </w:p>
    <w:p>
      <w:pPr>
        <w:pStyle w:val="Compact"/>
        <w:numPr>
          <w:ilvl w:val="0"/>
          <w:numId w:val="1016"/>
        </w:numPr>
      </w:pPr>
      <w:r>
        <w:t xml:space="preserve">2027 industry growth is still expected to exceed 2026; and</w:t>
      </w:r>
    </w:p>
    <w:p>
      <w:pPr>
        <w:pStyle w:val="Compact"/>
        <w:numPr>
          <w:ilvl w:val="0"/>
          <w:numId w:val="1016"/>
        </w:numPr>
      </w:pPr>
      <w:r>
        <w:t xml:space="preserve">Backlog and capacity planning continue to strengthen.</w:t>
      </w:r>
    </w:p>
    <w:p>
      <w:pPr>
        <w:pStyle w:val="FirstParagraph"/>
      </w:pPr>
      <w:r>
        <w:t xml:space="preserve">This would validate the view that KLA is experiencing both market growth and structural share/intensity gains.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7"/>
        </w:numPr>
      </w:pPr>
      <w:r>
        <w:t xml:space="preserve">Modest fiscal Q4 beat;</w:t>
      </w:r>
    </w:p>
    <w:p>
      <w:pPr>
        <w:pStyle w:val="Compact"/>
        <w:numPr>
          <w:ilvl w:val="0"/>
          <w:numId w:val="1017"/>
        </w:numPr>
      </w:pPr>
      <w:r>
        <w:t xml:space="preserve">September guidance of approximately</w:t>
      </w:r>
      <w:r>
        <w:t xml:space="preserve"> </w:t>
      </w:r>
      <m:oMath>
        <m:r>
          <m:t>3.8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4.0B</w:t>
      </w:r>
      <w:r>
        <w:t xml:space="preserve">;</w:t>
      </w:r>
    </w:p>
    <w:p>
      <w:pPr>
        <w:pStyle w:val="Compact"/>
        <w:numPr>
          <w:ilvl w:val="0"/>
          <w:numId w:val="1017"/>
        </w:numPr>
      </w:pPr>
      <w:r>
        <w:t xml:space="preserve">Gross margin in the low-to-mid 61% range;</w:t>
      </w:r>
    </w:p>
    <w:p>
      <w:pPr>
        <w:pStyle w:val="Compact"/>
        <w:numPr>
          <w:ilvl w:val="0"/>
          <w:numId w:val="1017"/>
        </w:numPr>
      </w:pPr>
      <w:r>
        <w:t xml:space="preserve">Advanced-packaging and calendar-year guidance reiterated;</w:t>
      </w:r>
    </w:p>
    <w:p>
      <w:pPr>
        <w:pStyle w:val="Compact"/>
        <w:numPr>
          <w:ilvl w:val="0"/>
          <w:numId w:val="1017"/>
        </w:numPr>
      </w:pPr>
      <w:r>
        <w:t xml:space="preserve">Continued confidence in 2027, without another explicit increase.</w:t>
      </w:r>
    </w:p>
    <w:p>
      <w:pPr>
        <w:pStyle w:val="FirstParagraph"/>
      </w:pPr>
      <w:r>
        <w:t xml:space="preserve">The stock reaction would likely depend on how much optimism is already reflected in investor positioning.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8"/>
        </w:numPr>
      </w:pPr>
      <w:r>
        <w:t xml:space="preserve">In-line June results but a weak September guide;</w:t>
      </w:r>
    </w:p>
    <w:p>
      <w:pPr>
        <w:pStyle w:val="Compact"/>
        <w:numPr>
          <w:ilvl w:val="0"/>
          <w:numId w:val="1018"/>
        </w:numPr>
      </w:pPr>
      <w:r>
        <w:t xml:space="preserve">Gross margin falls below approximately 61%;</w:t>
      </w:r>
    </w:p>
    <w:p>
      <w:pPr>
        <w:pStyle w:val="Compact"/>
        <w:numPr>
          <w:ilvl w:val="0"/>
          <w:numId w:val="1018"/>
        </w:numPr>
      </w:pPr>
      <w:r>
        <w:t xml:space="preserve">Advanced-packaging shipments slip;</w:t>
      </w:r>
    </w:p>
    <w:p>
      <w:pPr>
        <w:pStyle w:val="Compact"/>
        <w:numPr>
          <w:ilvl w:val="0"/>
          <w:numId w:val="1018"/>
        </w:numPr>
      </w:pPr>
      <w:r>
        <w:t xml:space="preserve">Supply constraints limit KLA’s ability to convert demand into revenue;</w:t>
      </w:r>
    </w:p>
    <w:p>
      <w:pPr>
        <w:pStyle w:val="Compact"/>
        <w:numPr>
          <w:ilvl w:val="0"/>
          <w:numId w:val="1018"/>
        </w:numPr>
      </w:pPr>
      <w:r>
        <w:t xml:space="preserve">Customer fab schedules move out;</w:t>
      </w:r>
    </w:p>
    <w:p>
      <w:pPr>
        <w:pStyle w:val="Compact"/>
        <w:numPr>
          <w:ilvl w:val="0"/>
          <w:numId w:val="1018"/>
        </w:numPr>
      </w:pPr>
      <w:r>
        <w:t xml:space="preserve">China restrictions become more consequential; or</w:t>
      </w:r>
    </w:p>
    <w:p>
      <w:pPr>
        <w:pStyle w:val="Compact"/>
        <w:numPr>
          <w:ilvl w:val="0"/>
          <w:numId w:val="1018"/>
        </w:numPr>
      </w:pPr>
      <w:r>
        <w:t xml:space="preserve">Management softens its 2027 growth language.</w:t>
      </w:r>
    </w:p>
    <w:p>
      <w:pPr>
        <w:pStyle w:val="FirstParagraph"/>
      </w:pPr>
      <w:r>
        <w:t xml:space="preserve">The most damaging combination would be</w:t>
      </w:r>
      <w:r>
        <w:t xml:space="preserve"> </w:t>
      </w:r>
      <w:r>
        <w:rPr>
          <w:b/>
          <w:bCs/>
        </w:rPr>
        <w:t xml:space="preserve">slower revenue acceleration plus worsening margins</w:t>
      </w:r>
      <w:r>
        <w:t xml:space="preserve">, because it would challenge both the cyclical and company-specific portions of the thesis.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KLA’s fiscal Q4 numbers should be solid, but this is primarily an</w:t>
      </w:r>
      <w:r>
        <w:t xml:space="preserve"> </w:t>
      </w:r>
      <w:r>
        <w:rPr>
          <w:b/>
          <w:bCs/>
        </w:rPr>
        <w:t xml:space="preserve">outlook report</w:t>
      </w:r>
      <w:r>
        <w:t xml:space="preserve">. The best evidence that the thesis remains intact would be:</w:t>
      </w:r>
    </w:p>
    <w:p>
      <w:pPr>
        <w:pStyle w:val="Compact"/>
        <w:numPr>
          <w:ilvl w:val="0"/>
          <w:numId w:val="1019"/>
        </w:numPr>
      </w:pPr>
      <w:r>
        <w:t xml:space="preserve">A September revenue guide approaching $4B;</w:t>
      </w:r>
    </w:p>
    <w:p>
      <w:pPr>
        <w:pStyle w:val="Compact"/>
        <w:numPr>
          <w:ilvl w:val="0"/>
          <w:numId w:val="1019"/>
        </w:numPr>
      </w:pPr>
      <w:r>
        <w:t xml:space="preserve">Gross-margin guidance still centered near 62%;</w:t>
      </w:r>
    </w:p>
    <w:p>
      <w:pPr>
        <w:pStyle w:val="Compact"/>
        <w:numPr>
          <w:ilvl w:val="0"/>
          <w:numId w:val="1019"/>
        </w:numPr>
      </w:pPr>
      <w:r>
        <w:t xml:space="preserve">Advanced-packaging revenue tracking to at least $1B in 2026;</w:t>
      </w:r>
    </w:p>
    <w:p>
      <w:pPr>
        <w:pStyle w:val="Compact"/>
        <w:numPr>
          <w:ilvl w:val="0"/>
          <w:numId w:val="1019"/>
        </w:numPr>
      </w:pPr>
      <w:r>
        <w:t xml:space="preserve">Continued mid-teens service growth;</w:t>
      </w:r>
    </w:p>
    <w:p>
      <w:pPr>
        <w:pStyle w:val="Compact"/>
        <w:numPr>
          <w:ilvl w:val="0"/>
          <w:numId w:val="1019"/>
        </w:numPr>
      </w:pPr>
      <w:r>
        <w:t xml:space="preserve">No material escalation in China-related impact; and</w:t>
      </w:r>
    </w:p>
    <w:p>
      <w:pPr>
        <w:pStyle w:val="Compact"/>
        <w:numPr>
          <w:ilvl w:val="0"/>
          <w:numId w:val="1019"/>
        </w:numPr>
      </w:pPr>
      <w:r>
        <w:t xml:space="preserve">An unchanged or stronger view that 2027 equipment growth will exceed 2026.</w:t>
      </w:r>
    </w:p>
    <w:p>
      <w:pPr>
        <w:pStyle w:val="FirstParagraph"/>
      </w:pPr>
      <w:r>
        <w:t xml:space="preserve">KLA has one of the strongest competitive and financial models in semiconductor equipment. The near-term risk is less about business quality than about the exceptionally strong expectations created by management’s own backlog, packaging and 2027 commentary. A simple beat may not be enough; investors will want evidence that the current acceleration can persist into fiscal 2027.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2026-07-28T01:22:51Z</dcterms:created>
  <dcterms:modified xsi:type="dcterms:W3CDTF">2026-07-28T01:22:51Z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