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kla-klac-fq4-2026-earnings-preview"/>
    <w:p>
      <w:pPr>
        <w:pStyle w:val="Heading1"/>
      </w:pPr>
      <w:r>
        <w:t xml:space="preserve">KLA (KLAC) FQ4 2026 Earnings Preview</w:t>
      </w:r>
    </w:p>
    <w:p>
      <w:pPr>
        <w:pStyle w:val="BlockText"/>
      </w:pPr>
      <w:r>
        <w:rPr>
          <w:b/>
          <w:bCs/>
        </w:rPr>
        <w:t xml:space="preserve">Date clarification:</w:t>
      </w:r>
      <w:r>
        <w:t xml:space="preserve"> </w:t>
      </w:r>
      <w:r>
        <w:t xml:space="preserve">Today is</w:t>
      </w:r>
      <w:r>
        <w:t xml:space="preserve"> </w:t>
      </w:r>
      <w:r>
        <w:rPr>
          <w:b/>
          <w:bCs/>
        </w:rPr>
        <w:t xml:space="preserve">Tuesday, July 28, 2026</w:t>
      </w:r>
      <w:r>
        <w:t xml:space="preserve">. KLAC is scheduled to report</w:t>
      </w:r>
      <w:r>
        <w:t xml:space="preserve"> </w:t>
      </w:r>
      <w:r>
        <w:rPr>
          <w:b/>
          <w:bCs/>
        </w:rPr>
        <w:t xml:space="preserve">after the U.S. market close today</w:t>
      </w:r>
      <w:r>
        <w:t xml:space="preserve">, followed by its fiscal Q4 2026 earnings call—not tomorrow. The company completed a</w:t>
      </w:r>
      <w:r>
        <w:t xml:space="preserve"> </w:t>
      </w:r>
      <w:r>
        <w:rPr>
          <w:b/>
          <w:bCs/>
        </w:rPr>
        <w:t xml:space="preserve">10-for-1 stock split</w:t>
      </w:r>
      <w:r>
        <w:t xml:space="preserve"> </w:t>
      </w:r>
      <w:r>
        <w:t xml:space="preserve">in June, so per-share figures below are shown on a</w:t>
      </w:r>
      <w:r>
        <w:t xml:space="preserve"> </w:t>
      </w:r>
      <w:r>
        <w:rPr>
          <w:b/>
          <w:bCs/>
        </w:rPr>
        <w:t xml:space="preserve">split-adjusted basis</w:t>
      </w:r>
      <w:r>
        <w:t xml:space="preserve"> </w:t>
      </w:r>
      <w:r>
        <w:t xml:space="preserve">where applicable.</w:t>
      </w:r>
    </w:p>
    <w:bookmarkStart w:id="9" w:name="Xbc88f86f6dd9c38bb67529fd47a93b63581e4d2"/>
    <w:p>
      <w:pPr>
        <w:pStyle w:val="Heading2"/>
      </w:pPr>
      <w:r>
        <w:t xml:space="preserve">Investment view: the quarter matters, but the September-quarter guide matters more</w:t>
      </w:r>
    </w:p>
    <w:p>
      <w:pPr>
        <w:pStyle w:val="FirstParagraph"/>
      </w:pPr>
      <w:r>
        <w:t xml:space="preserve">KLA enters earnings with a strong fundamental setup: AI-driven leading-edge logic, HBM/DRAM investment, advanced packaging, and yield-improvement spending have all raised demand for process-control equipment. At the April report, management described exceptional customer urgency, expanding backlog, and confidence that wafer-fab-equipment growth in</w:t>
      </w:r>
      <w:r>
        <w:t xml:space="preserve"> </w:t>
      </w:r>
      <w:r>
        <w:rPr>
          <w:b/>
          <w:bCs/>
        </w:rPr>
        <w:t xml:space="preserve">2027</w:t>
      </w:r>
      <w:r>
        <w:t xml:space="preserve"> </w:t>
      </w:r>
      <w:r>
        <w:t xml:space="preserve">would exceed its already strong 2026 growth outlook.</w:t>
      </w:r>
    </w:p>
    <w:p>
      <w:pPr>
        <w:pStyle w:val="BodyText"/>
      </w:pPr>
      <w:r>
        <w:t xml:space="preserve">The counterpoint is expectations. Investors already expect KLA to deliver a clean June-quarter beat, and the stock is likely to respond most to:</w:t>
      </w:r>
    </w:p>
    <w:p>
      <w:pPr>
        <w:pStyle w:val="Compact"/>
        <w:numPr>
          <w:ilvl w:val="0"/>
          <w:numId w:val="1001"/>
        </w:numPr>
      </w:pPr>
      <w:r>
        <w:rPr>
          <w:b/>
          <w:bCs/>
        </w:rPr>
        <w:t xml:space="preserve">The September-quarter revenue and EPS outlook</w:t>
      </w:r>
    </w:p>
    <w:p>
      <w:pPr>
        <w:pStyle w:val="Compact"/>
        <w:numPr>
          <w:ilvl w:val="0"/>
          <w:numId w:val="1001"/>
        </w:numPr>
      </w:pPr>
      <w:r>
        <w:rPr>
          <w:b/>
          <w:bCs/>
        </w:rPr>
        <w:t xml:space="preserve">Any change to calendar-2026 growth expectations</w:t>
      </w:r>
    </w:p>
    <w:p>
      <w:pPr>
        <w:pStyle w:val="Compact"/>
        <w:numPr>
          <w:ilvl w:val="0"/>
          <w:numId w:val="1001"/>
        </w:numPr>
      </w:pPr>
      <w:r>
        <w:rPr>
          <w:b/>
          <w:bCs/>
        </w:rPr>
        <w:t xml:space="preserve">Confidence in 2027 demand visibility and capacity</w:t>
      </w:r>
    </w:p>
    <w:p>
      <w:pPr>
        <w:pStyle w:val="Compact"/>
        <w:numPr>
          <w:ilvl w:val="0"/>
          <w:numId w:val="1001"/>
        </w:numPr>
      </w:pPr>
      <w:r>
        <w:rPr>
          <w:b/>
          <w:bCs/>
        </w:rPr>
        <w:t xml:space="preserve">Gross-margin trajectory amid elevated DRAM-component costs and tariffs</w:t>
      </w:r>
    </w:p>
    <w:p>
      <w:pPr>
        <w:pStyle w:val="Compact"/>
        <w:numPr>
          <w:ilvl w:val="0"/>
          <w:numId w:val="1001"/>
        </w:numPr>
      </w:pPr>
      <w:r>
        <w:rPr>
          <w:b/>
          <w:bCs/>
        </w:rPr>
        <w:t xml:space="preserve">Whether advanced-packaging growth is sustaining or accelerating</w:t>
      </w:r>
    </w:p>
    <w:p>
      <w:pPr>
        <w:pStyle w:val="FirstParagraph"/>
      </w:pPr>
      <w:r>
        <w:t xml:space="preserve">In short: a modest June beat alone may not be enough. The key is whether the company validates the multi-quarter AI/process-control upcycle without introducing a margin, export-control, or execution caveat.</w:t>
      </w:r>
    </w:p>
    <w:p>
      <w:r>
        <w:pict>
          <v:rect style="width:0;height:1.5pt" o:hralign="center" o:hrstd="t" o:hr="t"/>
        </w:pict>
      </w:r>
    </w:p>
    <w:bookmarkEnd w:id="9"/>
    <w:bookmarkStart w:id="11" w:name="what-kla-guided-for"/>
    <w:p>
      <w:pPr>
        <w:pStyle w:val="Heading2"/>
      </w:pPr>
      <w:r>
        <w:t xml:space="preserve">What KLA guided for</w:t>
      </w:r>
    </w:p>
    <w:p>
      <w:pPr>
        <w:pStyle w:val="FirstParagraph"/>
      </w:pPr>
      <w:r>
        <w:t xml:space="preserve">At FQ3 earnings, KLA guided FQ4 (June quarter)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FQ4 guide</w:t>
            </w:r>
          </w:p>
        </w:tc>
        <w:tc>
          <w:tcPr/>
          <w:p>
            <w:pPr>
              <w:pStyle w:val="Compact"/>
              <w:jc w:val="right"/>
            </w:pPr>
            <w:r>
              <w:t xml:space="preserve">Midpoint</w:t>
            </w:r>
          </w:p>
        </w:tc>
      </w:tr>
      <w:tr>
        <w:tc>
          <w:tcPr/>
          <w:p>
            <w:pPr>
              <w:pStyle w:val="Compact"/>
            </w:pPr>
            <w:r>
              <w:t xml:space="preserve">Revenue</w:t>
            </w:r>
          </w:p>
        </w:tc>
        <w:tc>
          <w:tcPr/>
          <w:p>
            <w:pPr>
              <w:pStyle w:val="Compact"/>
              <w:jc w:val="right"/>
            </w:pPr>
            <m:oMath>
              <m:r>
                <m:t>3.375</m:t>
              </m:r>
              <m:r>
                <m:t>B</m:t>
              </m:r>
              <m:r>
                <m:rPr>
                  <m:sty m:val="p"/>
                </m:rPr>
                <m:t>–</m:t>
              </m:r>
            </m:oMath>
            <w:r>
              <w:t xml:space="preserve">3.775B</w:t>
            </w:r>
          </w:p>
        </w:tc>
        <w:tc>
          <w:tcPr/>
          <w:p>
            <w:pPr>
              <w:pStyle w:val="Compact"/>
              <w:jc w:val="right"/>
            </w:pPr>
            <w:r>
              <w:rPr>
                <w:b/>
                <w:bCs/>
              </w:rPr>
              <w:t xml:space="preserve">$3.575B</w:t>
            </w:r>
          </w:p>
        </w:tc>
      </w:tr>
      <w:tr>
        <w:tc>
          <w:tcPr/>
          <w:p>
            <w:pPr>
              <w:pStyle w:val="Compact"/>
            </w:pPr>
            <w:r>
              <w:t xml:space="preserve">Non-GAAP gross margin</w:t>
            </w:r>
          </w:p>
        </w:tc>
        <w:tc>
          <w:tcPr/>
          <w:p>
            <w:pPr>
              <w:pStyle w:val="Compact"/>
              <w:jc w:val="right"/>
            </w:pPr>
            <w:r>
              <w:t xml:space="preserve">60.75%–62.75%</w:t>
            </w:r>
          </w:p>
        </w:tc>
        <w:tc>
          <w:tcPr/>
          <w:p>
            <w:pPr>
              <w:pStyle w:val="Compact"/>
              <w:jc w:val="right"/>
            </w:pPr>
            <w:r>
              <w:rPr>
                <w:b/>
                <w:bCs/>
              </w:rPr>
              <w:t xml:space="preserve">61.75%</w:t>
            </w:r>
          </w:p>
        </w:tc>
      </w:tr>
      <w:tr>
        <w:tc>
          <w:tcPr/>
          <w:p>
            <w:pPr>
              <w:pStyle w:val="Compact"/>
            </w:pPr>
            <w:r>
              <w:t xml:space="preserve">GAAP EPS</w:t>
            </w:r>
          </w:p>
        </w:tc>
        <w:tc>
          <w:tcPr/>
          <w:p>
            <w:pPr>
              <w:pStyle w:val="Compact"/>
              <w:jc w:val="right"/>
            </w:pPr>
            <m:oMath>
              <m:r>
                <m:t>0.866</m:t>
              </m:r>
              <m:r>
                <m:rPr>
                  <m:sty m:val="p"/>
                </m:rPr>
                <m:t>–</m:t>
              </m:r>
            </m:oMath>
            <w:r>
              <w:t xml:space="preserve">1.066</w:t>
            </w:r>
          </w:p>
        </w:tc>
        <w:tc>
          <w:tcPr/>
          <w:p>
            <w:pPr>
              <w:pStyle w:val="Compact"/>
              <w:jc w:val="right"/>
            </w:pPr>
            <w:r>
              <w:rPr>
                <w:b/>
                <w:bCs/>
              </w:rPr>
              <w:t xml:space="preserve">$0.966</w:t>
            </w:r>
          </w:p>
        </w:tc>
      </w:tr>
      <w:tr>
        <w:tc>
          <w:tcPr/>
          <w:p>
            <w:pPr>
              <w:pStyle w:val="Compact"/>
            </w:pPr>
            <w:r>
              <w:t xml:space="preserve">Non-GAAP EPS</w:t>
            </w:r>
          </w:p>
        </w:tc>
        <w:tc>
          <w:tcPr/>
          <w:p>
            <w:pPr>
              <w:pStyle w:val="Compact"/>
              <w:jc w:val="right"/>
            </w:pPr>
            <m:oMath>
              <m:r>
                <m:t>0.887</m:t>
              </m:r>
              <m:r>
                <m:rPr>
                  <m:sty m:val="p"/>
                </m:rPr>
                <m:t>–</m:t>
              </m:r>
            </m:oMath>
            <w:r>
              <w:t xml:space="preserve">1.087</w:t>
            </w:r>
          </w:p>
        </w:tc>
        <w:tc>
          <w:tcPr/>
          <w:p>
            <w:pPr>
              <w:pStyle w:val="Compact"/>
              <w:jc w:val="right"/>
            </w:pPr>
            <w:r>
              <w:rPr>
                <w:b/>
                <w:bCs/>
              </w:rPr>
              <w:t xml:space="preserve">$0.987</w:t>
            </w:r>
          </w:p>
        </w:tc>
      </w:tr>
    </w:tbl>
    <w:p>
      <w:pPr>
        <w:pStyle w:val="BodyText"/>
      </w:pPr>
      <w:r>
        <w:t xml:space="preserve">A recent market-expectations snapshot points to approximately</w:t>
      </w:r>
      <w:r>
        <w:t xml:space="preserve"> </w:t>
      </w:r>
      <m:oMath>
        <m:r>
          <m:t>3.6</m:t>
        </m:r>
        <m:r>
          <m:t>B</m:t>
        </m:r>
        <m:r>
          <m:t>o</m:t>
        </m:r>
        <m:r>
          <m:t>f</m:t>
        </m:r>
        <m:r>
          <m:t>r</m:t>
        </m:r>
        <m:r>
          <m:t>e</m:t>
        </m:r>
        <m:r>
          <m:t>v</m:t>
        </m:r>
        <m:r>
          <m:t>e</m:t>
        </m:r>
        <m:r>
          <m:t>n</m:t>
        </m:r>
        <m:r>
          <m:t>u</m:t>
        </m:r>
        <m:r>
          <m:t>e</m:t>
        </m:r>
        <m:r>
          <m:rPr>
            <m:sty m:val="p"/>
          </m:rPr>
          <m:t>*</m:t>
        </m:r>
        <m:r>
          <m:rPr>
            <m:sty m:val="p"/>
          </m:rPr>
          <m:t>*</m:t>
        </m:r>
        <m:r>
          <m:rPr>
            <m:sty m:val="p"/>
          </m:rPr>
          <m:t>,</m:t>
        </m:r>
        <m:r>
          <m:rPr>
            <m:sty m:val="p"/>
          </m:rPr>
          <m:t>*</m:t>
        </m:r>
        <m:r>
          <m:rPr>
            <m:sty m:val="p"/>
          </m:rPr>
          <m:t>*</m:t>
        </m:r>
        <m:r>
          <m:t>61.75</m:t>
        </m:r>
      </m:oMath>
      <w:r>
        <w:rPr>
          <w:b/>
          <w:bCs/>
        </w:rPr>
        <w:t xml:space="preserve">1.00 of EPS</w:t>
      </w:r>
      <w:r>
        <w:t xml:space="preserve">, essentially placing consensus near management’s midpoint rather than embedding a large beat. That leaves the guide and qualitative demand commentary as the bigger variables.</w:t>
      </w:r>
    </w:p>
    <w:bookmarkStart w:id="10" w:name="implied-setup"/>
    <w:p>
      <w:pPr>
        <w:pStyle w:val="Heading3"/>
      </w:pPr>
      <w:r>
        <w:t xml:space="preserve">Implied setup</w:t>
      </w:r>
    </w:p>
    <w:p>
      <w:pPr>
        <w:pStyle w:val="Compact"/>
        <w:numPr>
          <w:ilvl w:val="0"/>
          <w:numId w:val="1002"/>
        </w:numPr>
      </w:pPr>
      <w:r>
        <w:t xml:space="preserve">Revenue guidance calls for roughly</w:t>
      </w:r>
      <w:r>
        <w:t xml:space="preserve"> </w:t>
      </w:r>
      <w:r>
        <w:rPr>
          <w:b/>
          <w:bCs/>
        </w:rPr>
        <w:t xml:space="preserve">5% sequential growth</w:t>
      </w:r>
      <w:r>
        <w:t xml:space="preserve"> </w:t>
      </w:r>
      <w:r>
        <w:t xml:space="preserve">from FQ3’s $3.415B.</w:t>
      </w:r>
    </w:p>
    <w:p>
      <w:pPr>
        <w:pStyle w:val="Compact"/>
        <w:numPr>
          <w:ilvl w:val="0"/>
          <w:numId w:val="1002"/>
        </w:numPr>
      </w:pPr>
      <w:r>
        <w:t xml:space="preserve">Management had previously said it expected</w:t>
      </w:r>
      <w:r>
        <w:t xml:space="preserve"> </w:t>
      </w:r>
      <w:r>
        <w:rPr>
          <w:b/>
          <w:bCs/>
        </w:rPr>
        <w:t xml:space="preserve">sequential revenue growth through calendar 2026</w:t>
      </w:r>
      <w:r>
        <w:t xml:space="preserve">.</w:t>
      </w:r>
    </w:p>
    <w:p>
      <w:pPr>
        <w:pStyle w:val="Compact"/>
        <w:numPr>
          <w:ilvl w:val="0"/>
          <w:numId w:val="1002"/>
        </w:numPr>
      </w:pPr>
      <w:r>
        <w:t xml:space="preserve">The June-quarter mix was expected to remain heavily foundry/logic weighted: roughly</w:t>
      </w:r>
      <w:r>
        <w:t xml:space="preserve"> </w:t>
      </w:r>
      <w:r>
        <w:rPr>
          <w:b/>
          <w:bCs/>
        </w:rPr>
        <w:t xml:space="preserve">82% foundry/logic and 18% memory</w:t>
      </w:r>
      <w:r>
        <w:t xml:space="preserve"> </w:t>
      </w:r>
      <w:r>
        <w:t xml:space="preserve">within semiconductor process-control systems sold to semiconductor customers.</w:t>
      </w:r>
    </w:p>
    <w:p>
      <w:pPr>
        <w:pStyle w:val="Compact"/>
        <w:numPr>
          <w:ilvl w:val="0"/>
          <w:numId w:val="1002"/>
        </w:numPr>
      </w:pPr>
      <w:r>
        <w:t xml:space="preserve">Within memory, management expected the mix to be dominated by</w:t>
      </w:r>
      <w:r>
        <w:t xml:space="preserve"> </w:t>
      </w:r>
      <w:r>
        <w:rPr>
          <w:b/>
          <w:bCs/>
        </w:rPr>
        <w:t xml:space="preserve">DRAM (~84%)</w:t>
      </w:r>
      <w:r>
        <w:t xml:space="preserve">, consistent with HBM-related demand.</w:t>
      </w:r>
    </w:p>
    <w:p>
      <w:r>
        <w:pict>
          <v:rect style="width:0;height:1.5pt" o:hralign="center" o:hrstd="t" o:hr="t"/>
        </w:pict>
      </w:r>
    </w:p>
    <w:bookmarkEnd w:id="10"/>
    <w:bookmarkEnd w:id="11"/>
    <w:bookmarkStart w:id="15" w:name="X1f06d8e0ed42182fad6154ace54253b52164153"/>
    <w:p>
      <w:pPr>
        <w:pStyle w:val="Heading2"/>
      </w:pPr>
      <w:r>
        <w:t xml:space="preserve">Why the fundamental backdrop remains strong</w:t>
      </w:r>
    </w:p>
    <w:bookmarkStart w:id="12" w:name="X27e194b3ee3a162538370e812d430f53cd4d029"/>
    <w:p>
      <w:pPr>
        <w:pStyle w:val="Heading3"/>
      </w:pPr>
      <w:r>
        <w:t xml:space="preserve">1. Process control is a leveraged way to participate in AI semiconductor investment</w:t>
      </w:r>
    </w:p>
    <w:p>
      <w:pPr>
        <w:pStyle w:val="FirstParagraph"/>
      </w:pPr>
      <w:r>
        <w:t xml:space="preserve">KLA is not dependent solely on wafer starts or a single lithography transition. Its inspection, metrology, analytics, and service products benefit when customers need to improve yields, ramp new nodes, increase die complexity, qualify advanced packaging, or extract more output from installed fabs.</w:t>
      </w:r>
    </w:p>
    <w:p>
      <w:pPr>
        <w:pStyle w:val="BodyText"/>
      </w:pPr>
      <w:r>
        <w:t xml:space="preserve">Management’s prior commentary emphasized several reinforcing demand drivers:</w:t>
      </w:r>
    </w:p>
    <w:p>
      <w:pPr>
        <w:pStyle w:val="Compact"/>
        <w:numPr>
          <w:ilvl w:val="0"/>
          <w:numId w:val="1003"/>
        </w:numPr>
      </w:pPr>
      <w:r>
        <w:t xml:space="preserve">Leading-edge foundry/logic investment;</w:t>
      </w:r>
    </w:p>
    <w:p>
      <w:pPr>
        <w:pStyle w:val="Compact"/>
        <w:numPr>
          <w:ilvl w:val="0"/>
          <w:numId w:val="1003"/>
        </w:numPr>
      </w:pPr>
      <w:r>
        <w:t xml:space="preserve">DRAM and HBM complexity;</w:t>
      </w:r>
    </w:p>
    <w:p>
      <w:pPr>
        <w:pStyle w:val="Compact"/>
        <w:numPr>
          <w:ilvl w:val="0"/>
          <w:numId w:val="1003"/>
        </w:numPr>
      </w:pPr>
      <w:r>
        <w:t xml:space="preserve">Higher-value and larger AI dies, where yield losses are more costly;</w:t>
      </w:r>
    </w:p>
    <w:p>
      <w:pPr>
        <w:pStyle w:val="Compact"/>
        <w:numPr>
          <w:ilvl w:val="0"/>
          <w:numId w:val="1003"/>
        </w:numPr>
      </w:pPr>
      <w:r>
        <w:t xml:space="preserve">More design starts and faster product cycles;</w:t>
      </w:r>
    </w:p>
    <w:p>
      <w:pPr>
        <w:pStyle w:val="Compact"/>
        <w:numPr>
          <w:ilvl w:val="0"/>
          <w:numId w:val="1003"/>
        </w:numPr>
      </w:pPr>
      <w:r>
        <w:t xml:space="preserve">Advanced packaging, including hybrid bonding and die stacking;</w:t>
      </w:r>
    </w:p>
    <w:p>
      <w:pPr>
        <w:pStyle w:val="Compact"/>
        <w:numPr>
          <w:ilvl w:val="0"/>
          <w:numId w:val="1003"/>
        </w:numPr>
      </w:pPr>
      <w:r>
        <w:t xml:space="preserve">Yield-improvement investment at existing capacity, not only greenfield fab construction.</w:t>
      </w:r>
    </w:p>
    <w:p>
      <w:pPr>
        <w:pStyle w:val="FirstParagraph"/>
      </w:pPr>
      <w:r>
        <w:t xml:space="preserve">That distinction is important: KLA’s opportunity may remain strong even if the cadence of new fab construction fluctuates, because tight silicon supply encourages customers to optimize yield and utilization in existing fabs.</w:t>
      </w:r>
    </w:p>
    <w:bookmarkEnd w:id="12"/>
    <w:bookmarkStart w:id="13" w:name="X3c87459d6813e2a36cdc468bb37dc8c6e09a0d7"/>
    <w:p>
      <w:pPr>
        <w:pStyle w:val="Heading3"/>
      </w:pPr>
      <w:r>
        <w:t xml:space="preserve">2. Advanced packaging is becoming material</w:t>
      </w:r>
    </w:p>
    <w:p>
      <w:pPr>
        <w:pStyle w:val="FirstParagraph"/>
      </w:pPr>
      <w:r>
        <w:t xml:space="preserve">At the April call, management increased its 2026 outlook for semiconductor process-control revenue tied to advanced packaging to approximately</w:t>
      </w:r>
      <w:r>
        <w:t xml:space="preserve"> </w:t>
      </w:r>
      <m:oMath>
        <m:r>
          <m:t>1.0</m:t>
        </m:r>
        <m:r>
          <m:t>B</m:t>
        </m:r>
        <m:r>
          <m:rPr>
            <m:sty m:val="p"/>
          </m:rPr>
          <m:t>*</m:t>
        </m:r>
        <m:r>
          <m:rPr>
            <m:sty m:val="p"/>
          </m:rPr>
          <m:t>*</m:t>
        </m:r>
        <m:r>
          <m:rPr>
            <m:sty m:val="p"/>
          </m:rPr>
          <m:t>,</m:t>
        </m:r>
        <m:r>
          <m:t>f</m:t>
        </m:r>
        <m:r>
          <m:t>r</m:t>
        </m:r>
        <m:r>
          <m:t>o</m:t>
        </m:r>
        <m:r>
          <m:t>m</m:t>
        </m:r>
        <m:r>
          <m:t>a</m:t>
        </m:r>
        <m:r>
          <m:t>b</m:t>
        </m:r>
        <m:r>
          <m:t>o</m:t>
        </m:r>
        <m:r>
          <m:t>u</m:t>
        </m:r>
        <m:r>
          <m:t>t</m:t>
        </m:r>
        <m:r>
          <m:rPr>
            <m:sty m:val="p"/>
          </m:rPr>
          <m:t>*</m:t>
        </m:r>
        <m:r>
          <m:rPr>
            <m:sty m:val="p"/>
          </m:rPr>
          <m:t>*</m:t>
        </m:r>
      </m:oMath>
      <w:r>
        <w:rPr>
          <w:b/>
          <w:bCs/>
        </w:rPr>
        <w:t xml:space="preserve">635M in 2025</w:t>
      </w:r>
      <w:r>
        <w:t xml:space="preserve">. This is a meaningful upward revision, implying growth in the high-50% range for KLA’s advanced-packaging process-control business.</w:t>
      </w:r>
    </w:p>
    <w:p>
      <w:pPr>
        <w:pStyle w:val="BodyText"/>
      </w:pPr>
      <w:r>
        <w:t xml:space="preserve">For this report, investors should look for:</w:t>
      </w:r>
    </w:p>
    <w:p>
      <w:pPr>
        <w:pStyle w:val="Compact"/>
        <w:numPr>
          <w:ilvl w:val="0"/>
          <w:numId w:val="1004"/>
        </w:numPr>
      </w:pPr>
      <w:r>
        <w:t xml:space="preserve">Confirmation that advanced-packaging demand is landing in the second half as anticipated;</w:t>
      </w:r>
    </w:p>
    <w:p>
      <w:pPr>
        <w:pStyle w:val="Compact"/>
        <w:numPr>
          <w:ilvl w:val="0"/>
          <w:numId w:val="1004"/>
        </w:numPr>
      </w:pPr>
      <w:r>
        <w:t xml:space="preserve">Evidence of continued adoption in CoWoS, SoIC, hybrid-bonding, and other higher-complexity packaging flows;</w:t>
      </w:r>
    </w:p>
    <w:p>
      <w:pPr>
        <w:pStyle w:val="Compact"/>
        <w:numPr>
          <w:ilvl w:val="0"/>
          <w:numId w:val="1004"/>
        </w:numPr>
      </w:pPr>
      <w:r>
        <w:t xml:space="preserve">Any additional increase to the 2026 packaging outlook;</w:t>
      </w:r>
    </w:p>
    <w:p>
      <w:pPr>
        <w:pStyle w:val="Compact"/>
        <w:numPr>
          <w:ilvl w:val="0"/>
          <w:numId w:val="1004"/>
        </w:numPr>
      </w:pPr>
      <w:r>
        <w:t xml:space="preserve">Commentary on KLA’s ability to sustain share gains as competitors target the opportunity.</w:t>
      </w:r>
    </w:p>
    <w:bookmarkEnd w:id="13"/>
    <w:bookmarkStart w:id="14" w:name="Xee5a1221d8a3d8df40ff43f02570ec5976ec627"/>
    <w:p>
      <w:pPr>
        <w:pStyle w:val="Heading3"/>
      </w:pPr>
      <w:r>
        <w:t xml:space="preserve">3. Services supplies resilience and supports the capital-return model</w:t>
      </w:r>
    </w:p>
    <w:p>
      <w:pPr>
        <w:pStyle w:val="FirstParagraph"/>
      </w:pPr>
      <w:r>
        <w:t xml:space="preserve">FQ3 service revenue was</w:t>
      </w:r>
      <w:r>
        <w:t xml:space="preserve"> </w:t>
      </w:r>
      <w:r>
        <w:rPr>
          <w:b/>
          <w:bCs/>
        </w:rPr>
        <w:t xml:space="preserve">$775M</w:t>
      </w:r>
      <w:r>
        <w:t xml:space="preserve">, up</w:t>
      </w:r>
      <w:r>
        <w:t xml:space="preserve"> </w:t>
      </w:r>
      <w:r>
        <w:rPr>
          <w:b/>
          <w:bCs/>
        </w:rPr>
        <w:t xml:space="preserve">16% year over year</w:t>
      </w:r>
      <w:r>
        <w:t xml:space="preserve">, and represented about</w:t>
      </w:r>
      <w:r>
        <w:t xml:space="preserve"> </w:t>
      </w:r>
      <w:r>
        <w:rPr>
          <w:b/>
          <w:bCs/>
        </w:rPr>
        <w:t xml:space="preserve">23% of company revenue</w:t>
      </w:r>
      <w:r>
        <w:t xml:space="preserve">. Services are tied to a growing installed base and recurring support contracts, making the business structurally more stable than systems revenue.</w:t>
      </w:r>
    </w:p>
    <w:p>
      <w:pPr>
        <w:pStyle w:val="BodyText"/>
      </w:pPr>
      <w:r>
        <w:t xml:space="preserve">The main question is whether service growth remains in or above KLA’s stated long-term</w:t>
      </w:r>
      <w:r>
        <w:t xml:space="preserve"> </w:t>
      </w:r>
      <w:r>
        <w:rPr>
          <w:b/>
          <w:bCs/>
        </w:rPr>
        <w:t xml:space="preserve">13%–15%</w:t>
      </w:r>
      <w:r>
        <w:t xml:space="preserve"> </w:t>
      </w:r>
      <w:r>
        <w:t xml:space="preserve">growth framework as system shipments ramp. Strong service commentary would reinforce the view that today’s equipment growth creates a larger recurring-revenue base for future years.</w:t>
      </w:r>
    </w:p>
    <w:p>
      <w:r>
        <w:pict>
          <v:rect style="width:0;height:1.5pt" o:hralign="center" o:hrstd="t" o:hr="t"/>
        </w:pict>
      </w:r>
    </w:p>
    <w:bookmarkEnd w:id="14"/>
    <w:bookmarkEnd w:id="15"/>
    <w:bookmarkStart w:id="21" w:name="the-most-important-earnings-call-debates"/>
    <w:p>
      <w:pPr>
        <w:pStyle w:val="Heading2"/>
      </w:pPr>
      <w:r>
        <w:t xml:space="preserve">The most important earnings-call debates</w:t>
      </w:r>
    </w:p>
    <w:bookmarkStart w:id="16" w:name="X14bd6695ac322e725fb5aa1e1764cb0e800e8cc"/>
    <w:p>
      <w:pPr>
        <w:pStyle w:val="Heading3"/>
      </w:pPr>
      <w:r>
        <w:t xml:space="preserve">1. Does KLA raise its 2026 growth outlook?</w:t>
      </w:r>
    </w:p>
    <w:p>
      <w:pPr>
        <w:pStyle w:val="FirstParagraph"/>
      </w:pPr>
      <w:r>
        <w:t xml:space="preserve">In April, management described a high-teens calendar-2026 company revenue-growth framework and said semiconductor process-control systems revenue could grow</w:t>
      </w:r>
      <w:r>
        <w:t xml:space="preserve"> </w:t>
      </w:r>
      <w:r>
        <w:rPr>
          <w:b/>
          <w:bCs/>
        </w:rPr>
        <w:t xml:space="preserve">more than 20%</w:t>
      </w:r>
      <w:r>
        <w:t xml:space="preserve">. It also characterized a roughly</w:t>
      </w:r>
      <w:r>
        <w:t xml:space="preserve"> </w:t>
      </w:r>
      <w:r>
        <w:rPr>
          <w:b/>
          <w:bCs/>
        </w:rPr>
        <w:t xml:space="preserve">$15B</w:t>
      </w:r>
      <w:r>
        <w:t xml:space="preserve"> </w:t>
      </w:r>
      <w:r>
        <w:t xml:space="preserve">2026 revenue framework as reasonable.</w:t>
      </w:r>
    </w:p>
    <w:p>
      <w:pPr>
        <w:pStyle w:val="BodyText"/>
      </w:pPr>
      <w:r>
        <w:t xml:space="preserve">The bar for a positive reaction is likely higher than simply reiterating that view. Investors will be watching for:</w:t>
      </w:r>
    </w:p>
    <w:p>
      <w:pPr>
        <w:pStyle w:val="Compact"/>
        <w:numPr>
          <w:ilvl w:val="0"/>
          <w:numId w:val="1005"/>
        </w:numPr>
      </w:pPr>
      <w:r>
        <w:t xml:space="preserve">A higher full-year growth outlook;</w:t>
      </w:r>
    </w:p>
    <w:p>
      <w:pPr>
        <w:pStyle w:val="Compact"/>
        <w:numPr>
          <w:ilvl w:val="0"/>
          <w:numId w:val="1005"/>
        </w:numPr>
      </w:pPr>
      <w:r>
        <w:t xml:space="preserve">An implied stronger second half;</w:t>
      </w:r>
    </w:p>
    <w:p>
      <w:pPr>
        <w:pStyle w:val="Compact"/>
        <w:numPr>
          <w:ilvl w:val="0"/>
          <w:numId w:val="1005"/>
        </w:numPr>
      </w:pPr>
      <w:r>
        <w:t xml:space="preserve">Higher systems or advanced-packaging growth expectations;</w:t>
      </w:r>
    </w:p>
    <w:p>
      <w:pPr>
        <w:pStyle w:val="Compact"/>
        <w:numPr>
          <w:ilvl w:val="0"/>
          <w:numId w:val="1005"/>
        </w:numPr>
      </w:pPr>
      <w:r>
        <w:t xml:space="preserve">Evidence that shipment capacity—not end demand—is the primary limitation.</w:t>
      </w:r>
    </w:p>
    <w:bookmarkEnd w:id="16"/>
    <w:bookmarkStart w:id="17" w:name="X96cb68d76fa47de94aedb6f141cc28f0baa8fb1"/>
    <w:p>
      <w:pPr>
        <w:pStyle w:val="Heading3"/>
      </w:pPr>
      <w:r>
        <w:t xml:space="preserve">2. How credible is the 2027 acceleration narrative?</w:t>
      </w:r>
    </w:p>
    <w:p>
      <w:pPr>
        <w:pStyle w:val="FirstParagraph"/>
      </w:pPr>
      <w:r>
        <w:t xml:space="preserve">This is arguably the central issue for the stock. In April, KLA said customer visibility was unusually strong, driven by backlog, slot planning, greenfield projects, and demand across leading-edge logic, DRAM, NAND, and packaging. Management said it expected 2027 wafer-equipment growth to exceed its expected 2026 growth rate.</w:t>
      </w:r>
    </w:p>
    <w:p>
      <w:pPr>
        <w:pStyle w:val="BodyText"/>
      </w:pPr>
      <w:r>
        <w:t xml:space="preserve">Bullish confirmation would include:</w:t>
      </w:r>
    </w:p>
    <w:p>
      <w:pPr>
        <w:pStyle w:val="Compact"/>
        <w:numPr>
          <w:ilvl w:val="0"/>
          <w:numId w:val="1006"/>
        </w:numPr>
      </w:pPr>
      <w:r>
        <w:t xml:space="preserve">Continued customer urgency around delivery slots;</w:t>
      </w:r>
    </w:p>
    <w:p>
      <w:pPr>
        <w:pStyle w:val="Compact"/>
        <w:numPr>
          <w:ilvl w:val="0"/>
          <w:numId w:val="1006"/>
        </w:numPr>
      </w:pPr>
      <w:r>
        <w:t xml:space="preserve">No material pushouts in backlog or fab schedules;</w:t>
      </w:r>
    </w:p>
    <w:p>
      <w:pPr>
        <w:pStyle w:val="Compact"/>
        <w:numPr>
          <w:ilvl w:val="0"/>
          <w:numId w:val="1006"/>
        </w:numPr>
      </w:pPr>
      <w:r>
        <w:t xml:space="preserve">Confidence that KLA’s supply chain, hiring, installation, and service capacity can support the ramp;</w:t>
      </w:r>
    </w:p>
    <w:p>
      <w:pPr>
        <w:pStyle w:val="Compact"/>
        <w:numPr>
          <w:ilvl w:val="0"/>
          <w:numId w:val="1006"/>
        </w:numPr>
      </w:pPr>
      <w:r>
        <w:t xml:space="preserve">Broad-based strength rather than demand concentrated in one customer, geography, or technology.</w:t>
      </w:r>
    </w:p>
    <w:p>
      <w:pPr>
        <w:pStyle w:val="FirstParagraph"/>
      </w:pPr>
      <w:r>
        <w:t xml:space="preserve">The risk is that investors interpret highly forward demand as customers reserving capacity rather than placing orders tied to firm fab readiness. Management will need to distinguish genuine demand visibility from precautionary slot reservation.</w:t>
      </w:r>
    </w:p>
    <w:bookmarkEnd w:id="17"/>
    <w:bookmarkStart w:id="18" w:name="X44c8e555559c0c680bcdab7826a8d88a7b2ebc9"/>
    <w:p>
      <w:pPr>
        <w:pStyle w:val="Heading3"/>
      </w:pPr>
      <w:r>
        <w:t xml:space="preserve">3. Can gross margin hold near 62%?</w:t>
      </w:r>
    </w:p>
    <w:p>
      <w:pPr>
        <w:pStyle w:val="FirstParagraph"/>
      </w:pPr>
      <w:r>
        <w:t xml:space="preserve">The June-quarter gross-margin midpoint was</w:t>
      </w:r>
      <w:r>
        <w:t xml:space="preserve"> </w:t>
      </w:r>
      <w:r>
        <w:rPr>
          <w:b/>
          <w:bCs/>
        </w:rPr>
        <w:t xml:space="preserve">61.75%</w:t>
      </w:r>
      <w:r>
        <w:t xml:space="preserve">, below FQ3’s 62.2% non-GAAP result. Management cited three principal headwinds:</w:t>
      </w:r>
    </w:p>
    <w:p>
      <w:pPr>
        <w:pStyle w:val="Compact"/>
        <w:numPr>
          <w:ilvl w:val="0"/>
          <w:numId w:val="1007"/>
        </w:numPr>
      </w:pPr>
      <w:r>
        <w:t xml:space="preserve">Higher DRAM-chip costs for image-processing computers shipped with its tools;</w:t>
      </w:r>
    </w:p>
    <w:p>
      <w:pPr>
        <w:pStyle w:val="Compact"/>
        <w:numPr>
          <w:ilvl w:val="0"/>
          <w:numId w:val="1007"/>
        </w:numPr>
      </w:pPr>
      <w:r>
        <w:t xml:space="preserve">Tariff costs;</w:t>
      </w:r>
    </w:p>
    <w:p>
      <w:pPr>
        <w:pStyle w:val="Compact"/>
        <w:numPr>
          <w:ilvl w:val="0"/>
          <w:numId w:val="1007"/>
        </w:numPr>
      </w:pPr>
      <w:r>
        <w:t xml:space="preserve">Less favorable product mix.</w:t>
      </w:r>
    </w:p>
    <w:p>
      <w:pPr>
        <w:pStyle w:val="FirstParagraph"/>
      </w:pPr>
      <w:r>
        <w:t xml:space="preserve">Management previously expected elevated memory pricing to create about a</w:t>
      </w:r>
      <w:r>
        <w:t xml:space="preserve"> </w:t>
      </w:r>
      <w:r>
        <w:rPr>
          <w:b/>
          <w:bCs/>
        </w:rPr>
        <w:t xml:space="preserve">100-basis-point</w:t>
      </w:r>
      <w:r>
        <w:t xml:space="preserve"> </w:t>
      </w:r>
      <w:r>
        <w:t xml:space="preserve">gross-margin headwind over several quarters and maintained a calendar-2026 gross-margin outlook of approximately</w:t>
      </w:r>
      <w:r>
        <w:t xml:space="preserve"> </w:t>
      </w:r>
      <w:r>
        <w:rPr>
          <w:b/>
          <w:bCs/>
        </w:rPr>
        <w:t xml:space="preserve">62% ±50 bps</w:t>
      </w:r>
      <w:r>
        <w:t xml:space="preserve">.</w:t>
      </w:r>
    </w:p>
    <w:p>
      <w:pPr>
        <w:pStyle w:val="BodyText"/>
      </w:pPr>
      <w:r>
        <w:t xml:space="preserve">Key questions:</w:t>
      </w:r>
    </w:p>
    <w:p>
      <w:pPr>
        <w:pStyle w:val="Compact"/>
        <w:numPr>
          <w:ilvl w:val="0"/>
          <w:numId w:val="1008"/>
        </w:numPr>
      </w:pPr>
      <w:r>
        <w:t xml:space="preserve">Did KLA achieve or exceed the 61.75% June-quarter midpoint?</w:t>
      </w:r>
    </w:p>
    <w:p>
      <w:pPr>
        <w:pStyle w:val="Compact"/>
        <w:numPr>
          <w:ilvl w:val="0"/>
          <w:numId w:val="1008"/>
        </w:numPr>
      </w:pPr>
      <w:r>
        <w:t xml:space="preserve">Is the DRAM-cost headwind still contained to roughly 100 bps?</w:t>
      </w:r>
    </w:p>
    <w:p>
      <w:pPr>
        <w:pStyle w:val="Compact"/>
        <w:numPr>
          <w:ilvl w:val="0"/>
          <w:numId w:val="1008"/>
        </w:numPr>
      </w:pPr>
      <w:r>
        <w:t xml:space="preserve">Are tariff impacts easing as operational mitigations take effect?</w:t>
      </w:r>
    </w:p>
    <w:p>
      <w:pPr>
        <w:pStyle w:val="Compact"/>
        <w:numPr>
          <w:ilvl w:val="0"/>
          <w:numId w:val="1008"/>
        </w:numPr>
      </w:pPr>
      <w:r>
        <w:t xml:space="preserve">Can higher volume and service mix offset component-cost pressure?</w:t>
      </w:r>
    </w:p>
    <w:p>
      <w:pPr>
        <w:pStyle w:val="Compact"/>
        <w:numPr>
          <w:ilvl w:val="0"/>
          <w:numId w:val="1008"/>
        </w:numPr>
      </w:pPr>
      <w:r>
        <w:t xml:space="preserve">Is the September-quarter guide consistent with a ~62% full-year margin?</w:t>
      </w:r>
    </w:p>
    <w:p>
      <w:pPr>
        <w:pStyle w:val="FirstParagraph"/>
      </w:pPr>
      <w:r>
        <w:t xml:space="preserve">A revenue beat accompanied by lower-than-expected margin or a worsening margin outlook would likely be received poorly.</w:t>
      </w:r>
    </w:p>
    <w:bookmarkEnd w:id="18"/>
    <w:bookmarkStart w:id="19" w:name="Xbc87b0d1d7662d8457d2be4ed2315f927f0c739"/>
    <w:p>
      <w:pPr>
        <w:pStyle w:val="Heading3"/>
      </w:pPr>
      <w:r>
        <w:t xml:space="preserve">4. What is the China trajectory?</w:t>
      </w:r>
    </w:p>
    <w:p>
      <w:pPr>
        <w:pStyle w:val="FirstParagraph"/>
      </w:pPr>
      <w:r>
        <w:t xml:space="preserve">China remains material even as the mix shifts toward other regions and customers. China represented</w:t>
      </w:r>
      <w:r>
        <w:t xml:space="preserve"> </w:t>
      </w:r>
      <w:r>
        <w:rPr>
          <w:b/>
          <w:bCs/>
        </w:rPr>
        <w:t xml:space="preserve">24.3%</w:t>
      </w:r>
      <w:r>
        <w:t xml:space="preserve"> </w:t>
      </w:r>
      <w:r>
        <w:t xml:space="preserve">of FQ3 revenue and</w:t>
      </w:r>
      <w:r>
        <w:t xml:space="preserve"> </w:t>
      </w:r>
      <w:r>
        <w:rPr>
          <w:b/>
          <w:bCs/>
        </w:rPr>
        <w:t xml:space="preserve">31.2%</w:t>
      </w:r>
      <w:r>
        <w:t xml:space="preserve"> </w:t>
      </w:r>
      <w:r>
        <w:t xml:space="preserve">of revenue for the first nine months of fiscal 2026. Management has said China spending is likely to grow more slowly than overall WFE, while export restrictions continue to limit exposure to advanced-node activity.</w:t>
      </w:r>
    </w:p>
    <w:p>
      <w:pPr>
        <w:pStyle w:val="BodyText"/>
      </w:pPr>
      <w:r>
        <w:t xml:space="preserve">Items to watch:</w:t>
      </w:r>
    </w:p>
    <w:p>
      <w:pPr>
        <w:pStyle w:val="Compact"/>
        <w:numPr>
          <w:ilvl w:val="0"/>
          <w:numId w:val="1009"/>
        </w:numPr>
      </w:pPr>
      <w:r>
        <w:t xml:space="preserve">Any change in China demand, licensing, shipment timing, deposits, or backlog;</w:t>
      </w:r>
    </w:p>
    <w:p>
      <w:pPr>
        <w:pStyle w:val="Compact"/>
        <w:numPr>
          <w:ilvl w:val="0"/>
          <w:numId w:val="1009"/>
        </w:numPr>
      </w:pPr>
      <w:r>
        <w:t xml:space="preserve">Effects from recently evolving export controls;</w:t>
      </w:r>
    </w:p>
    <w:p>
      <w:pPr>
        <w:pStyle w:val="Compact"/>
        <w:numPr>
          <w:ilvl w:val="0"/>
          <w:numId w:val="1009"/>
        </w:numPr>
      </w:pPr>
      <w:r>
        <w:t xml:space="preserve">Signs that domestic Chinese competition is gaining traction in KLA’s served markets;</w:t>
      </w:r>
    </w:p>
    <w:p>
      <w:pPr>
        <w:pStyle w:val="Compact"/>
        <w:numPr>
          <w:ilvl w:val="0"/>
          <w:numId w:val="1009"/>
        </w:numPr>
      </w:pPr>
      <w:r>
        <w:t xml:space="preserve">Whether non-China leading-edge demand is sufficiently robust to more than offset China-related constraints.</w:t>
      </w:r>
    </w:p>
    <w:bookmarkEnd w:id="19"/>
    <w:bookmarkStart w:id="20" w:name="Xf1b07d46d393d411666d66321252175ac91a5ae"/>
    <w:p>
      <w:pPr>
        <w:pStyle w:val="Heading3"/>
      </w:pPr>
      <w:r>
        <w:t xml:space="preserve">5. Are concentration and working-capital risks rising with the ramp?</w:t>
      </w:r>
    </w:p>
    <w:p>
      <w:pPr>
        <w:pStyle w:val="FirstParagraph"/>
      </w:pPr>
      <w:r>
        <w:t xml:space="preserve">KLA’s FQ3 revenue concentration was high: two customers accounted for approximately</w:t>
      </w:r>
      <w:r>
        <w:t xml:space="preserve"> </w:t>
      </w:r>
      <w:r>
        <w:rPr>
          <w:b/>
          <w:bCs/>
        </w:rPr>
        <w:t xml:space="preserve">19%</w:t>
      </w:r>
      <w:r>
        <w:t xml:space="preserve"> </w:t>
      </w:r>
      <w:r>
        <w:t xml:space="preserve">and</w:t>
      </w:r>
      <w:r>
        <w:t xml:space="preserve"> </w:t>
      </w:r>
      <w:r>
        <w:rPr>
          <w:b/>
          <w:bCs/>
        </w:rPr>
        <w:t xml:space="preserve">11%</w:t>
      </w:r>
      <w:r>
        <w:t xml:space="preserve"> </w:t>
      </w:r>
      <w:r>
        <w:t xml:space="preserve">of revenue. Inventory stood at</w:t>
      </w:r>
      <w:r>
        <w:t xml:space="preserve"> </w:t>
      </w:r>
      <w:r>
        <w:rPr>
          <w:b/>
          <w:bCs/>
        </w:rPr>
        <w:t xml:space="preserve">$3.44B</w:t>
      </w:r>
      <w:r>
        <w:t xml:space="preserve">, up from</w:t>
      </w:r>
      <w:r>
        <w:t xml:space="preserve"> </w:t>
      </w:r>
      <m:oMath>
        <m:r>
          <m:t>3.21</m:t>
        </m:r>
        <m:r>
          <m:t>B</m:t>
        </m:r>
        <m:r>
          <m:t>a</m:t>
        </m:r>
        <m:r>
          <m:t>t</m:t>
        </m:r>
        <m:r>
          <m:t>f</m:t>
        </m:r>
        <m:r>
          <m:t>i</m:t>
        </m:r>
        <m:r>
          <m:t>s</m:t>
        </m:r>
        <m:r>
          <m:t>c</m:t>
        </m:r>
        <m:r>
          <m:t>a</m:t>
        </m:r>
        <m:r>
          <m:t>l</m:t>
        </m:r>
        <m:r>
          <m:t>y</m:t>
        </m:r>
        <m:r>
          <m:t>e</m:t>
        </m:r>
        <m:r>
          <m:t>a</m:t>
        </m:r>
        <m:r>
          <m:t>r</m:t>
        </m:r>
        <m:r>
          <m:rPr>
            <m:sty m:val="p"/>
          </m:rPr>
          <m:t>−</m:t>
        </m:r>
        <m:r>
          <m:t>e</m:t>
        </m:r>
        <m:r>
          <m:t>n</m:t>
        </m:r>
        <m:r>
          <m:t>d</m:t>
        </m:r>
        <m:r>
          <m:rPr>
            <m:sty m:val="p"/>
          </m:rPr>
          <m:t>,</m:t>
        </m:r>
        <m:r>
          <m:t>w</m:t>
        </m:r>
        <m:r>
          <m:t>h</m:t>
        </m:r>
        <m:r>
          <m:t>i</m:t>
        </m:r>
        <m:r>
          <m:t>l</m:t>
        </m:r>
        <m:r>
          <m:t>e</m:t>
        </m:r>
        <m:r>
          <m:t>p</m:t>
        </m:r>
        <m:r>
          <m:t>u</m:t>
        </m:r>
        <m:r>
          <m:t>r</m:t>
        </m:r>
        <m:r>
          <m:t>c</m:t>
        </m:r>
        <m:r>
          <m:t>h</m:t>
        </m:r>
        <m:r>
          <m:t>a</m:t>
        </m:r>
        <m:r>
          <m:t>s</m:t>
        </m:r>
        <m:r>
          <m:t>e</m:t>
        </m:r>
        <m:r>
          <m:t>c</m:t>
        </m:r>
        <m:r>
          <m:t>o</m:t>
        </m:r>
        <m:r>
          <m:t>m</m:t>
        </m:r>
        <m:r>
          <m:t>m</m:t>
        </m:r>
        <m:r>
          <m:t>i</m:t>
        </m:r>
        <m:r>
          <m:t>t</m:t>
        </m:r>
        <m:r>
          <m:t>m</m:t>
        </m:r>
        <m:r>
          <m:t>e</m:t>
        </m:r>
        <m:r>
          <m:t>n</m:t>
        </m:r>
        <m:r>
          <m:t>t</m:t>
        </m:r>
        <m:r>
          <m:t>s</m:t>
        </m:r>
        <m:r>
          <m:t>w</m:t>
        </m:r>
        <m:r>
          <m:t>e</m:t>
        </m:r>
        <m:r>
          <m:t>r</m:t>
        </m:r>
        <m:r>
          <m:t>e</m:t>
        </m:r>
        <m:r>
          <m:t>a</m:t>
        </m:r>
        <m:r>
          <m:t>p</m:t>
        </m:r>
        <m:r>
          <m:t>p</m:t>
        </m:r>
        <m:r>
          <m:t>r</m:t>
        </m:r>
        <m:r>
          <m:t>o</m:t>
        </m:r>
        <m:r>
          <m:t>x</m:t>
        </m:r>
        <m:r>
          <m:t>i</m:t>
        </m:r>
        <m:r>
          <m:t>m</m:t>
        </m:r>
        <m:r>
          <m:t>a</m:t>
        </m:r>
        <m:r>
          <m:t>t</m:t>
        </m:r>
        <m:r>
          <m:t>e</m:t>
        </m:r>
        <m:r>
          <m:t>l</m:t>
        </m:r>
        <m:r>
          <m:t>y</m:t>
        </m:r>
        <m:r>
          <m:rPr>
            <m:sty m:val="p"/>
          </m:rPr>
          <m:t>*</m:t>
        </m:r>
        <m:r>
          <m:rPr>
            <m:sty m:val="p"/>
          </m:rPr>
          <m:t>*</m:t>
        </m:r>
      </m:oMath>
      <w:r>
        <w:t xml:space="preserve">4.83B**, mostly due within 12 months.</w:t>
      </w:r>
    </w:p>
    <w:p>
      <w:pPr>
        <w:pStyle w:val="BodyText"/>
      </w:pPr>
      <w:r>
        <w:t xml:space="preserve">These figures are logical in a supply-constrained growth environment, but they raise the sensitivity to customer delivery timing, component availability, and demand changes. A favorable read-through would be continued backlog support and no sign of inventory or cancellation risk.</w:t>
      </w:r>
    </w:p>
    <w:p>
      <w:r>
        <w:pict>
          <v:rect style="width:0;height:1.5pt" o:hralign="center" o:hrstd="t" o:hr="t"/>
        </w:pict>
      </w:r>
    </w:p>
    <w:bookmarkEnd w:id="20"/>
    <w:bookmarkEnd w:id="21"/>
    <w:bookmarkStart w:id="22" w:name="last-quarter-scorecard"/>
    <w:p>
      <w:pPr>
        <w:pStyle w:val="Heading2"/>
      </w:pPr>
      <w:r>
        <w:t xml:space="preserve">Last-quarter scorecard</w:t>
      </w:r>
    </w:p>
    <w:p>
      <w:pPr>
        <w:pStyle w:val="FirstParagraph"/>
      </w:pPr>
      <w:r>
        <w:t xml:space="preserve">KLA executed well in FQ3:</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FQ3 FY26 result</w:t>
            </w:r>
          </w:p>
        </w:tc>
        <w:tc>
          <w:tcPr/>
          <w:p>
            <w:pPr>
              <w:pStyle w:val="Compact"/>
              <w:jc w:val="right"/>
            </w:pPr>
            <w:r>
              <w:t xml:space="preserve">Result</w:t>
            </w:r>
          </w:p>
        </w:tc>
      </w:tr>
      <w:tr>
        <w:tc>
          <w:tcPr/>
          <w:p>
            <w:pPr>
              <w:pStyle w:val="Compact"/>
            </w:pPr>
            <w:r>
              <w:t xml:space="preserve">Revenue</w:t>
            </w:r>
          </w:p>
        </w:tc>
        <w:tc>
          <w:tcPr/>
          <w:p>
            <w:pPr>
              <w:pStyle w:val="Compact"/>
              <w:jc w:val="right"/>
            </w:pPr>
            <w:r>
              <w:rPr>
                <w:b/>
                <w:bCs/>
              </w:rPr>
              <w:t xml:space="preserve">$3.415B</w:t>
            </w:r>
          </w:p>
        </w:tc>
      </w:tr>
      <w:tr>
        <w:tc>
          <w:tcPr/>
          <w:p>
            <w:pPr>
              <w:pStyle w:val="Compact"/>
            </w:pPr>
            <w:r>
              <w:t xml:space="preserve">Revenue growth</w:t>
            </w:r>
          </w:p>
        </w:tc>
        <w:tc>
          <w:tcPr/>
          <w:p>
            <w:pPr>
              <w:pStyle w:val="Compact"/>
              <w:jc w:val="right"/>
            </w:pPr>
            <w:r>
              <w:rPr>
                <w:b/>
                <w:bCs/>
              </w:rPr>
              <w:t xml:space="preserve">+4% QoQ / +11% YoY</w:t>
            </w:r>
          </w:p>
        </w:tc>
      </w:tr>
      <w:tr>
        <w:tc>
          <w:tcPr/>
          <w:p>
            <w:pPr>
              <w:pStyle w:val="Compact"/>
            </w:pPr>
            <w:r>
              <w:t xml:space="preserve">Non-GAAP EPS</w:t>
            </w:r>
          </w:p>
        </w:tc>
        <w:tc>
          <w:tcPr/>
          <w:p>
            <w:pPr>
              <w:pStyle w:val="Compact"/>
              <w:jc w:val="right"/>
            </w:pPr>
            <w:r>
              <w:rPr>
                <w:b/>
                <w:bCs/>
              </w:rPr>
              <w:t xml:space="preserve">$0.940 split-adjusted</w:t>
            </w:r>
          </w:p>
        </w:tc>
      </w:tr>
      <w:tr>
        <w:tc>
          <w:tcPr/>
          <w:p>
            <w:pPr>
              <w:pStyle w:val="Compact"/>
            </w:pPr>
            <w:r>
              <w:t xml:space="preserve">Non-GAAP gross margin</w:t>
            </w:r>
          </w:p>
        </w:tc>
        <w:tc>
          <w:tcPr/>
          <w:p>
            <w:pPr>
              <w:pStyle w:val="Compact"/>
              <w:jc w:val="right"/>
            </w:pPr>
            <w:r>
              <w:rPr>
                <w:b/>
                <w:bCs/>
              </w:rPr>
              <w:t xml:space="preserve">62.2%</w:t>
            </w:r>
          </w:p>
        </w:tc>
      </w:tr>
      <w:tr>
        <w:tc>
          <w:tcPr/>
          <w:p>
            <w:pPr>
              <w:pStyle w:val="Compact"/>
            </w:pPr>
            <w:r>
              <w:t xml:space="preserve">Service revenue</w:t>
            </w:r>
          </w:p>
        </w:tc>
        <w:tc>
          <w:tcPr/>
          <w:p>
            <w:pPr>
              <w:pStyle w:val="Compact"/>
              <w:jc w:val="right"/>
            </w:pPr>
            <w:r>
              <w:rPr>
                <w:b/>
                <w:bCs/>
              </w:rPr>
              <w:t xml:space="preserve">$775M, +16% YoY</w:t>
            </w:r>
          </w:p>
        </w:tc>
      </w:tr>
      <w:tr>
        <w:tc>
          <w:tcPr/>
          <w:p>
            <w:pPr>
              <w:pStyle w:val="Compact"/>
            </w:pPr>
            <w:r>
              <w:t xml:space="preserve">Free cash flow</w:t>
            </w:r>
          </w:p>
        </w:tc>
        <w:tc>
          <w:tcPr/>
          <w:p>
            <w:pPr>
              <w:pStyle w:val="Compact"/>
              <w:jc w:val="right"/>
            </w:pPr>
            <w:r>
              <w:rPr>
                <w:b/>
                <w:bCs/>
              </w:rPr>
              <w:t xml:space="preserve">$622M</w:t>
            </w:r>
          </w:p>
        </w:tc>
      </w:tr>
      <w:tr>
        <w:tc>
          <w:tcPr/>
          <w:p>
            <w:pPr>
              <w:pStyle w:val="Compact"/>
            </w:pPr>
            <w:r>
              <w:t xml:space="preserve">Capital returned</w:t>
            </w:r>
          </w:p>
        </w:tc>
        <w:tc>
          <w:tcPr/>
          <w:p>
            <w:pPr>
              <w:pStyle w:val="Compact"/>
              <w:jc w:val="right"/>
            </w:pPr>
            <w:r>
              <w:rPr>
                <w:b/>
                <w:bCs/>
              </w:rPr>
              <w:t xml:space="preserve">$875M</w:t>
            </w:r>
          </w:p>
        </w:tc>
      </w:tr>
    </w:tbl>
    <w:p>
      <w:pPr>
        <w:pStyle w:val="BodyText"/>
      </w:pPr>
      <w:r>
        <w:t xml:space="preserve">Revenue exceeded the company’s $3.35B midpoint by $65M, while non-GAAP EPS of $9.40 pre-split exceeded the $8.85 midpoint. The result demonstrated continued operational execution, but it also reinforced investors’ expectation that KLA can reliably beat its guide.</w:t>
      </w:r>
    </w:p>
    <w:p>
      <w:r>
        <w:pict>
          <v:rect style="width:0;height:1.5pt" o:hralign="center" o:hrstd="t" o:hr="t"/>
        </w:pict>
      </w:r>
    </w:p>
    <w:bookmarkEnd w:id="22"/>
    <w:bookmarkStart w:id="23" w:name="capital-returns-remain-a-differentiator"/>
    <w:p>
      <w:pPr>
        <w:pStyle w:val="Heading2"/>
      </w:pPr>
      <w:r>
        <w:t xml:space="preserve">Capital returns remain a differentiator</w:t>
      </w:r>
    </w:p>
    <w:p>
      <w:pPr>
        <w:pStyle w:val="FirstParagraph"/>
      </w:pPr>
      <w:r>
        <w:t xml:space="preserve">KLA generated approximately</w:t>
      </w:r>
      <w:r>
        <w:t xml:space="preserve"> </w:t>
      </w:r>
      <m:oMath>
        <m:r>
          <m:t>4.0</m:t>
        </m:r>
        <m:r>
          <m:t>B</m:t>
        </m:r>
        <m:r>
          <m:t>o</m:t>
        </m:r>
        <m:r>
          <m:t>f</m:t>
        </m:r>
        <m:r>
          <m:t>t</m:t>
        </m:r>
        <m:r>
          <m:t>r</m:t>
        </m:r>
        <m:r>
          <m:t>a</m:t>
        </m:r>
        <m:r>
          <m:t>i</m:t>
        </m:r>
        <m:r>
          <m:t>l</m:t>
        </m:r>
        <m:r>
          <m:t>i</m:t>
        </m:r>
        <m:r>
          <m:t>n</m:t>
        </m:r>
        <m:r>
          <m:t>g</m:t>
        </m:r>
        <m:r>
          <m:rPr>
            <m:sty m:val="p"/>
          </m:rPr>
          <m:t>−</m:t>
        </m:r>
        <m:r>
          <m:t>12</m:t>
        </m:r>
        <m:r>
          <m:rPr>
            <m:sty m:val="p"/>
          </m:rPr>
          <m:t>−</m:t>
        </m:r>
        <m:r>
          <m:t>m</m:t>
        </m:r>
        <m:r>
          <m:t>o</m:t>
        </m:r>
        <m:r>
          <m:t>n</m:t>
        </m:r>
        <m:r>
          <m:t>t</m:t>
        </m:r>
        <m:r>
          <m:t>h</m:t>
        </m:r>
        <m:r>
          <m:t>f</m:t>
        </m:r>
        <m:r>
          <m:t>r</m:t>
        </m:r>
        <m:r>
          <m:t>e</m:t>
        </m:r>
        <m:r>
          <m:t>e</m:t>
        </m:r>
        <m:r>
          <m:t>c</m:t>
        </m:r>
        <m:r>
          <m:t>a</m:t>
        </m:r>
        <m:r>
          <m:t>s</m:t>
        </m:r>
        <m:r>
          <m:t>h</m:t>
        </m:r>
        <m:r>
          <m:t>f</m:t>
        </m:r>
        <m:r>
          <m:t>l</m:t>
        </m:r>
        <m:r>
          <m:t>o</m:t>
        </m:r>
        <m:r>
          <m:t>w</m:t>
        </m:r>
        <m:r>
          <m:rPr>
            <m:sty m:val="p"/>
          </m:rPr>
          <m:t>*</m:t>
        </m:r>
        <m:r>
          <m:rPr>
            <m:sty m:val="p"/>
          </m:rPr>
          <m:t>*</m:t>
        </m:r>
        <m:r>
          <m:t>t</m:t>
        </m:r>
        <m:r>
          <m:t>h</m:t>
        </m:r>
        <m:r>
          <m:t>r</m:t>
        </m:r>
        <m:r>
          <m:t>o</m:t>
        </m:r>
        <m:r>
          <m:t>u</m:t>
        </m:r>
        <m:r>
          <m:t>g</m:t>
        </m:r>
        <m:r>
          <m:t>h</m:t>
        </m:r>
        <m:r>
          <m:t>F</m:t>
        </m:r>
        <m:r>
          <m:t>Q</m:t>
        </m:r>
        <m:r>
          <m:t>3</m:t>
        </m:r>
        <m:r>
          <m:t>a</m:t>
        </m:r>
        <m:r>
          <m:t>n</m:t>
        </m:r>
        <m:r>
          <m:t>d</m:t>
        </m:r>
        <m:r>
          <m:t>r</m:t>
        </m:r>
        <m:r>
          <m:t>e</m:t>
        </m:r>
        <m:r>
          <m:t>t</m:t>
        </m:r>
        <m:r>
          <m:t>u</m:t>
        </m:r>
        <m:r>
          <m:t>r</m:t>
        </m:r>
        <m:r>
          <m:t>n</m:t>
        </m:r>
        <m:r>
          <m:t>e</m:t>
        </m:r>
        <m:r>
          <m:t>d</m:t>
        </m:r>
        <m:r>
          <m:rPr>
            <m:sty m:val="p"/>
          </m:rPr>
          <m:t>*</m:t>
        </m:r>
        <m:r>
          <m:rPr>
            <m:sty m:val="p"/>
          </m:rPr>
          <m:t>*</m:t>
        </m:r>
      </m:oMath>
      <w:r>
        <w:rPr>
          <w:b/>
          <w:bCs/>
        </w:rPr>
        <w:t xml:space="preserve">3.15B</w:t>
      </w:r>
      <w:r>
        <w:t xml:space="preserve"> </w:t>
      </w:r>
      <w:r>
        <w:t xml:space="preserve">over the trailing 12 months through dividends and repurchases. The board also raised the quarterly dividend for the 17th consecutive year and authorized an additional</w:t>
      </w:r>
      <w:r>
        <w:t xml:space="preserve"> </w:t>
      </w:r>
      <w:r>
        <w:rPr>
          <w:b/>
          <w:bCs/>
        </w:rPr>
        <w:t xml:space="preserve">$7B</w:t>
      </w:r>
      <w:r>
        <w:t xml:space="preserve"> </w:t>
      </w:r>
      <w:r>
        <w:t xml:space="preserve">of repurchases.</w:t>
      </w:r>
    </w:p>
    <w:p>
      <w:pPr>
        <w:pStyle w:val="BodyText"/>
      </w:pPr>
      <w:r>
        <w:t xml:space="preserve">At March 31, KLA had:</w:t>
      </w:r>
    </w:p>
    <w:p>
      <w:pPr>
        <w:pStyle w:val="Compact"/>
        <w:numPr>
          <w:ilvl w:val="0"/>
          <w:numId w:val="1010"/>
        </w:numPr>
      </w:pPr>
      <w:r>
        <w:rPr>
          <w:b/>
          <w:bCs/>
        </w:rPr>
        <w:t xml:space="preserve">$5.0B</w:t>
      </w:r>
      <w:r>
        <w:t xml:space="preserve"> </w:t>
      </w:r>
      <w:r>
        <w:t xml:space="preserve">in cash, cash equivalents, and marketable securities;</w:t>
      </w:r>
    </w:p>
    <w:p>
      <w:pPr>
        <w:pStyle w:val="Compact"/>
        <w:numPr>
          <w:ilvl w:val="0"/>
          <w:numId w:val="1010"/>
        </w:numPr>
      </w:pPr>
      <w:r>
        <w:rPr>
          <w:b/>
          <w:bCs/>
        </w:rPr>
        <w:t xml:space="preserve">$5.95B</w:t>
      </w:r>
      <w:r>
        <w:t xml:space="preserve"> </w:t>
      </w:r>
      <w:r>
        <w:t xml:space="preserve">of gross debt;</w:t>
      </w:r>
    </w:p>
    <w:p>
      <w:pPr>
        <w:pStyle w:val="Compact"/>
        <w:numPr>
          <w:ilvl w:val="0"/>
          <w:numId w:val="1010"/>
        </w:numPr>
      </w:pPr>
      <w:r>
        <w:rPr>
          <w:b/>
          <w:bCs/>
        </w:rPr>
        <w:t xml:space="preserve">$10.31B</w:t>
      </w:r>
      <w:r>
        <w:t xml:space="preserve"> </w:t>
      </w:r>
      <w:r>
        <w:t xml:space="preserve">of remaining repurchase authorization.</w:t>
      </w:r>
    </w:p>
    <w:p>
      <w:pPr>
        <w:pStyle w:val="FirstParagraph"/>
      </w:pPr>
      <w:r>
        <w:t xml:space="preserve">Capital returns should not drive the immediate earnings reaction, but the combination of high free-cash-flow conversion, buybacks, and a growing dividend remains a key part of the longer-term thesis.</w:t>
      </w:r>
    </w:p>
    <w:p>
      <w:r>
        <w:pict>
          <v:rect style="width:0;height:1.5pt" o:hralign="center" o:hrstd="t" o:hr="t"/>
        </w:pict>
      </w:r>
    </w:p>
    <w:bookmarkEnd w:id="23"/>
    <w:bookmarkStart w:id="24" w:name="stock-setup-into-earnings"/>
    <w:p>
      <w:pPr>
        <w:pStyle w:val="Heading2"/>
      </w:pPr>
      <w:r>
        <w:t xml:space="preserve">Stock setup into earnings</w:t>
      </w:r>
    </w:p>
    <w:p>
      <w:pPr>
        <w:pStyle w:val="FirstParagraph"/>
      </w:pPr>
      <w:r>
        <w:t xml:space="preserve">KLAC closed at</w:t>
      </w:r>
      <w:r>
        <w:t xml:space="preserve"> </w:t>
      </w:r>
      <w:r>
        <w:rPr>
          <w:b/>
          <w:bCs/>
        </w:rPr>
        <w:t xml:space="preserve">$203.40 on July 27</w:t>
      </w:r>
      <w:r>
        <w:t xml:space="preserve">. The shares were up about</w:t>
      </w:r>
      <w:r>
        <w:t xml:space="preserve"> </w:t>
      </w:r>
      <w:r>
        <w:rPr>
          <w:b/>
          <w:bCs/>
        </w:rPr>
        <w:t xml:space="preserve">12%</w:t>
      </w:r>
      <w:r>
        <w:t xml:space="preserve"> </w:t>
      </w:r>
      <w:r>
        <w:t xml:space="preserve">from the April 29 earnings-date close, but remained roughly</w:t>
      </w:r>
      <w:r>
        <w:t xml:space="preserve"> </w:t>
      </w:r>
      <w:r>
        <w:rPr>
          <w:b/>
          <w:bCs/>
        </w:rPr>
        <w:t xml:space="preserve">33% below</w:t>
      </w:r>
      <w:r>
        <w:t xml:space="preserve"> </w:t>
      </w:r>
      <w:r>
        <w:t xml:space="preserve">their June 30 closing peak of $301.71. Over the same April 29–July 27 period, SOXX rose about</w:t>
      </w:r>
      <w:r>
        <w:t xml:space="preserve"> </w:t>
      </w:r>
      <w:r>
        <w:rPr>
          <w:b/>
          <w:bCs/>
        </w:rPr>
        <w:t xml:space="preserve">15%</w:t>
      </w:r>
      <w:r>
        <w:t xml:space="preserve">, meaning KLAC has modestly lagged the semiconductor ETF since last earnings.</w:t>
      </w:r>
    </w:p>
    <w:p>
      <w:pPr>
        <w:pStyle w:val="BodyText"/>
      </w:pPr>
      <w:r>
        <w:t xml:space="preserve">That setup suggests expectations remain high at the fundamental level, while the shares have already absorbed meaningful volatility around the durability of AI-related semiconductor capital spending. A strong guide could therefore drive a sharp recovery, but the stock also remains exposed to any indication that the 2027 demand narrative is less firm than investors expect.</w:t>
      </w:r>
    </w:p>
    <w:p>
      <w:r>
        <w:pict>
          <v:rect style="width:0;height:1.5pt" o:hralign="center" o:hrstd="t" o:hr="t"/>
        </w:pict>
      </w:r>
    </w:p>
    <w:bookmarkEnd w:id="24"/>
    <w:bookmarkStart w:id="28" w:name="bull-base-and-bear-framing"/>
    <w:p>
      <w:pPr>
        <w:pStyle w:val="Heading2"/>
      </w:pPr>
      <w:r>
        <w:t xml:space="preserve">Bull, base, and bear framing</w:t>
      </w:r>
    </w:p>
    <w:bookmarkStart w:id="25" w:name="bull-case"/>
    <w:p>
      <w:pPr>
        <w:pStyle w:val="Heading3"/>
      </w:pPr>
      <w:r>
        <w:t xml:space="preserve">Bull case</w:t>
      </w:r>
    </w:p>
    <w:p>
      <w:pPr>
        <w:pStyle w:val="Compact"/>
        <w:numPr>
          <w:ilvl w:val="0"/>
          <w:numId w:val="1011"/>
        </w:numPr>
      </w:pPr>
      <w:r>
        <w:t xml:space="preserve">FQ4 revenue/EPS beat the midpoint meaningfully;</w:t>
      </w:r>
    </w:p>
    <w:p>
      <w:pPr>
        <w:pStyle w:val="Compact"/>
        <w:numPr>
          <w:ilvl w:val="0"/>
          <w:numId w:val="1011"/>
        </w:numPr>
      </w:pPr>
      <w:r>
        <w:t xml:space="preserve">September-quarter guide implies continued sequential growth;</w:t>
      </w:r>
    </w:p>
    <w:p>
      <w:pPr>
        <w:pStyle w:val="Compact"/>
        <w:numPr>
          <w:ilvl w:val="0"/>
          <w:numId w:val="1011"/>
        </w:numPr>
      </w:pPr>
      <w:r>
        <w:t xml:space="preserve">KLA raises 2026 revenue or systems-growth expectations;</w:t>
      </w:r>
    </w:p>
    <w:p>
      <w:pPr>
        <w:pStyle w:val="Compact"/>
        <w:numPr>
          <w:ilvl w:val="0"/>
          <w:numId w:val="1011"/>
        </w:numPr>
      </w:pPr>
      <w:r>
        <w:t xml:space="preserve">Advanced packaging outlook moves above $1B;</w:t>
      </w:r>
    </w:p>
    <w:p>
      <w:pPr>
        <w:pStyle w:val="Compact"/>
        <w:numPr>
          <w:ilvl w:val="0"/>
          <w:numId w:val="1011"/>
        </w:numPr>
      </w:pPr>
      <w:r>
        <w:t xml:space="preserve">2027 visibility is reaffirmed, with no demand or capacity caveat;</w:t>
      </w:r>
    </w:p>
    <w:p>
      <w:pPr>
        <w:pStyle w:val="Compact"/>
        <w:numPr>
          <w:ilvl w:val="0"/>
          <w:numId w:val="1011"/>
        </w:numPr>
      </w:pPr>
      <w:r>
        <w:t xml:space="preserve">Gross-margin outlook holds near 62%.</w:t>
      </w:r>
    </w:p>
    <w:bookmarkEnd w:id="25"/>
    <w:bookmarkStart w:id="26" w:name="base-case"/>
    <w:p>
      <w:pPr>
        <w:pStyle w:val="Heading3"/>
      </w:pPr>
      <w:r>
        <w:t xml:space="preserve">Base case</w:t>
      </w:r>
    </w:p>
    <w:p>
      <w:pPr>
        <w:pStyle w:val="Compact"/>
        <w:numPr>
          <w:ilvl w:val="0"/>
          <w:numId w:val="1012"/>
        </w:numPr>
      </w:pPr>
      <w:r>
        <w:t xml:space="preserve">June results are modestly above midpoint;</w:t>
      </w:r>
    </w:p>
    <w:p>
      <w:pPr>
        <w:pStyle w:val="Compact"/>
        <w:numPr>
          <w:ilvl w:val="0"/>
          <w:numId w:val="1012"/>
        </w:numPr>
      </w:pPr>
      <w:r>
        <w:t xml:space="preserve">September guide is constructive but broadly in line with seasonal and consensus expectations;</w:t>
      </w:r>
    </w:p>
    <w:p>
      <w:pPr>
        <w:pStyle w:val="Compact"/>
        <w:numPr>
          <w:ilvl w:val="0"/>
          <w:numId w:val="1012"/>
        </w:numPr>
      </w:pPr>
      <w:r>
        <w:t xml:space="preserve">2026 and 2027 demand commentary is reiterated rather than raised;</w:t>
      </w:r>
    </w:p>
    <w:p>
      <w:pPr>
        <w:pStyle w:val="Compact"/>
        <w:numPr>
          <w:ilvl w:val="0"/>
          <w:numId w:val="1012"/>
        </w:numPr>
      </w:pPr>
      <w:r>
        <w:t xml:space="preserve">Margin remains pressured but within the existing framework.</w:t>
      </w:r>
    </w:p>
    <w:bookmarkEnd w:id="26"/>
    <w:bookmarkStart w:id="27" w:name="bear-case"/>
    <w:p>
      <w:pPr>
        <w:pStyle w:val="Heading3"/>
      </w:pPr>
      <w:r>
        <w:t xml:space="preserve">Bear case</w:t>
      </w:r>
    </w:p>
    <w:p>
      <w:pPr>
        <w:pStyle w:val="Compact"/>
        <w:numPr>
          <w:ilvl w:val="0"/>
          <w:numId w:val="1013"/>
        </w:numPr>
      </w:pPr>
      <w:r>
        <w:t xml:space="preserve">Results merely meet guidance or beat only through non-operating items;</w:t>
      </w:r>
    </w:p>
    <w:p>
      <w:pPr>
        <w:pStyle w:val="Compact"/>
        <w:numPr>
          <w:ilvl w:val="0"/>
          <w:numId w:val="1013"/>
        </w:numPr>
      </w:pPr>
      <w:r>
        <w:t xml:space="preserve">September guidance disappoints or lacks sequential growth;</w:t>
      </w:r>
    </w:p>
    <w:p>
      <w:pPr>
        <w:pStyle w:val="Compact"/>
        <w:numPr>
          <w:ilvl w:val="0"/>
          <w:numId w:val="1013"/>
        </w:numPr>
      </w:pPr>
      <w:r>
        <w:t xml:space="preserve">Management points to constrained shipments, customer pushouts, weaker China demand, or delayed fab readiness;</w:t>
      </w:r>
    </w:p>
    <w:p>
      <w:pPr>
        <w:pStyle w:val="Compact"/>
        <w:numPr>
          <w:ilvl w:val="0"/>
          <w:numId w:val="1013"/>
        </w:numPr>
      </w:pPr>
      <w:r>
        <w:t xml:space="preserve">DRAM/tariff costs pressure gross margin beyond the 62% framework;</w:t>
      </w:r>
    </w:p>
    <w:p>
      <w:pPr>
        <w:pStyle w:val="Compact"/>
        <w:numPr>
          <w:ilvl w:val="0"/>
          <w:numId w:val="1013"/>
        </w:numPr>
      </w:pPr>
      <w:r>
        <w:t xml:space="preserve">Advanced-packaging momentum proves more back-half weighted than expected.</w:t>
      </w:r>
    </w:p>
    <w:p>
      <w:r>
        <w:pict>
          <v:rect style="width:0;height:1.5pt" o:hralign="center" o:hrstd="t" o:hr="t"/>
        </w:pict>
      </w:r>
    </w:p>
    <w:bookmarkEnd w:id="27"/>
    <w:bookmarkEnd w:id="28"/>
    <w:bookmarkStart w:id="29" w:name="bottom-line"/>
    <w:p>
      <w:pPr>
        <w:pStyle w:val="Heading2"/>
      </w:pPr>
      <w:r>
        <w:t xml:space="preserve">Bottom line</w:t>
      </w:r>
    </w:p>
    <w:p>
      <w:pPr>
        <w:pStyle w:val="FirstParagraph"/>
      </w:pPr>
      <w:r>
        <w:rPr>
          <w:b/>
          <w:bCs/>
        </w:rPr>
        <w:t xml:space="preserve">KLA’s report is principally a test of whether an already-strong AI/process-control thesis is strengthening further.</w:t>
      </w:r>
      <w:r>
        <w:t xml:space="preserve"> </w:t>
      </w:r>
      <w:r>
        <w:t xml:space="preserve">The June-quarter numbers should be solid given the company’s guide and recent execution, but the investment debate has shifted toward the durability and magnitude of 2027 growth.</w:t>
      </w:r>
    </w:p>
    <w:p>
      <w:pPr>
        <w:pStyle w:val="BodyText"/>
      </w:pPr>
      <w:r>
        <w:t xml:space="preserve">The most constructive outcome would be a FQ4 beat paired with a September guide that preserves sequential growth, a raised or de-risked 2026 outlook, continued advanced-packaging upside, and confirmation that DRAM-component and tariff headwinds remain manageable. Conversely, because the market already understands the AI narrative, any softening in forward visibility or gross-margin confidence could outweigh a good reported quarter.</w:t>
      </w:r>
    </w:p>
    <w:p>
      <w:pPr>
        <w:pStyle w:val="BodyText"/>
      </w:pPr>
      <w:r>
        <w:rPr>
          <w:i/>
          <w:iCs/>
        </w:rPr>
        <w:t xml:space="preserve">Sources reviewed: KLA FQ3 FY2026 earnings release, earnings-call transcript, FQ3 Form 10-Q, recent company/conference materials, market-news digest, and historical price data.</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2026-07-28T01:21:42Z</dcterms:created>
  <dcterms:modified xsi:type="dcterms:W3CDTF">2026-07-28T01:21:42Z</dcterms:modified>
</cp:coreProperties>
</file>

<file path=docProps/custom.xml><?xml version="1.0" encoding="utf-8"?>
<Properties xmlns="http://schemas.openxmlformats.org/officeDocument/2006/custom-properties" xmlns:vt="http://schemas.openxmlformats.org/officeDocument/2006/docPropsVTypes"/>
</file>