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KLA Corporation (KLAC) — Earnings Preview</w:t>
      </w:r>
    </w:p>
    <w:p>
      <w:r>
        <w:rPr>
          <w:rFonts w:ascii="Calibri" w:hAnsi="Calibri"/>
          <w:b/>
          <w:color w:val="525866"/>
          <w:sz w:val="22"/>
        </w:rPr>
        <w:t xml:space="preserve">Ticker: </w:t>
      </w:r>
      <w:r>
        <w:rPr>
          <w:rFonts w:ascii="Calibri" w:hAnsi="Calibri"/>
          <w:color w:val="525866"/>
          <w:sz w:val="22"/>
        </w:rPr>
        <w:t xml:space="preserve">KLAC   </w:t>
      </w:r>
      <w:r>
        <w:rPr>
          <w:rFonts w:ascii="Calibri" w:hAnsi="Calibri"/>
          <w:b/>
          <w:color w:val="525866"/>
          <w:sz w:val="22"/>
        </w:rPr>
        <w:t xml:space="preserve">Upcoming Earnings: </w:t>
      </w:r>
      <w:r>
        <w:rPr>
          <w:rFonts w:ascii="Calibri" w:hAnsi="Calibri"/>
          <w:color w:val="525866"/>
          <w:sz w:val="22"/>
        </w:rPr>
        <w:t xml:space="preserve">Q4 FY2026 (June Quarter) — Expected late July / early August 2026   </w:t>
      </w:r>
      <w:r>
        <w:rPr>
          <w:rFonts w:ascii="Calibri" w:hAnsi="Calibri"/>
          <w:b/>
          <w:color w:val="525866"/>
          <w:sz w:val="22"/>
        </w:rPr>
        <w:t xml:space="preserve">Prepared: </w:t>
      </w:r>
      <w:r>
        <w:rPr>
          <w:rFonts w:ascii="Calibri" w:hAnsi="Calibri"/>
          <w:color w:val="525866"/>
          <w:sz w:val="22"/>
        </w:rPr>
        <w:t>July 28,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favors a beat — consensus is a manageable bar against KLA’s own guidance midpoint, and every major peer has confirmed an accelerating WFE environment; the single biggest swing factor is whether advanced packaging revenue tracks toward the ~$1B target or surprises further to the upside.</w:t>
      </w:r>
    </w:p>
    <w:p>
      <w:r>
        <w:rPr>
          <w:rFonts w:ascii="Calibri" w:hAnsi="Calibri"/>
          <w:b/>
          <w:color w:val="525866"/>
          <w:sz w:val="22"/>
        </w:rPr>
        <w:t xml:space="preserve">Heading into the Q4 FY2026 print, the setup for KLAC is constructive. </w:t>
      </w:r>
      <w:r>
        <w:rPr>
          <w:rFonts w:ascii="Calibri" w:hAnsi="Calibri"/>
          <w:color w:val="525866"/>
          <w:sz w:val="22"/>
        </w:rPr>
        <w:t xml:space="preserve">Consensus revenue of ~$3.61B sits just above the $3.575B guidance midpoint (+1%), and non-GAAP EPS consensus of ~$9.91 is modestly above the $9.87 guidance midpoint — a low bar that management has cleared in each of the last eight quarters. Management’s tone has shifted decisively more bullish since the April 29 print: the CFO indicated at the June BofA conference that 2026 WFE growth could approach ~20% (vs. the prior “exceeds $140B” framing), and reiterated that 2027 sets up as an additional very strong year with broad-based participation across foundry/logic, DRAM, and incremental NAND. Estimate revisions have tracked guidance closely — the post-earnings baseline for Q4 FY2026 revenue was ~$3.60B and has barely moved, suggesting the street is anchored to guidance rather than pricing in incremental upside. </w:t>
      </w:r>
      <w:r>
        <w:rPr>
          <w:rFonts w:ascii="Calibri" w:hAnsi="Calibri"/>
          <w:color w:val="525866"/>
          <w:sz w:val="22"/>
        </w:rPr>
        <w:t xml:space="preserve">The stock has rallied ~12% since the April 29 earnings date but remains well off its June 30 peak of ~$301 (indexed ~166), having given back a significant portion of gains on broader semis weakness in July, which means the stock is not obviously pricing in a beat. </w:t>
      </w:r>
      <w:r>
        <w:rPr>
          <w:rFonts w:ascii="Calibri" w:hAnsi="Calibri"/>
          <w:color w:val="525866"/>
          <w:sz w:val="22"/>
        </w:rPr>
        <w:t>The key wildcard is advanced packaging: KLA raised its 2026 target sharply to ~$1B just last quarter, and with AMAT guiding its own packaging revenues up &gt;50% and TSMC noting packaging capacity is “so tight it is limited by customer growth,” there is a credible path to another upside surprise on this line.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sits just above guidance midpoints on both revenue and EPS — a low bar. </w:t>
      </w:r>
      <w:r>
        <w:rPr>
          <w:rFonts w:ascii="Calibri" w:hAnsi="Calibri"/>
          <w:color w:val="525866"/>
          <w:sz w:val="22"/>
        </w:rPr>
        <w:t>Advanced packaging revenue trajectory and gross margin are the two biggest swing factors for the print.</w:t>
      </w:r>
    </w:p>
    <w:p>
      <w:pPr>
        <w:pStyle w:val="Heading3"/>
      </w:pPr>
      <w:r>
        <w:rPr>
          <w:rFonts w:ascii="Calibri" w:hAnsi="Calibri"/>
          <w:b/>
          <w:color w:val="3B4259"/>
          <w:sz w:val="24"/>
        </w:rPr>
        <w:t>Table 1 — Current Quarter Snapshot (Q4 FY2026)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(Q3 FY2026)</w:t>
            </w:r>
          </w:p>
        </w:tc>
        <w:tc>
          <w:tcPr>
            <w:tcW w:type="dxa" w:w="1234"/>
            <w:shd w:val="clear" w:color="auto" w:fill="3B4259"/>
          </w:tcPr>
          <w:p>
            <w:r>
              <w:rPr>
                <w:rFonts w:ascii="Calibri" w:hAnsi="Calibri"/>
                <w:b/>
                <w:color w:val="FFFFFF"/>
                <w:sz w:val="22"/>
              </w:rPr>
              <w:t>Prior Year Period (Q4 FY2025)</w:t>
            </w:r>
          </w:p>
        </w:tc>
        <w:tc>
          <w:tcPr>
            <w:tcW w:type="dxa" w:w="1234"/>
            <w:shd w:val="clear" w:color="auto" w:fill="3B4259"/>
          </w:tcPr>
          <w:p>
            <w:r>
              <w:rPr>
                <w:rFonts w:ascii="Calibri" w:hAnsi="Calibri"/>
                <w:b/>
                <w:color w:val="FFFFFF"/>
                <w:sz w:val="22"/>
              </w:rPr>
              <w:t>Q4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(Midpoint)</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Total Revenue ($M)</w:t>
            </w:r>
          </w:p>
        </w:tc>
        <w:tc>
          <w:tcPr>
            <w:tcW w:type="dxa" w:w="1234"/>
          </w:tcPr>
          <w:p>
            <w:r>
              <w:rPr>
                <w:rFonts w:ascii="Calibri" w:hAnsi="Calibri"/>
                <w:sz w:val="22"/>
              </w:rPr>
              <w:t>$3,415</w:t>
            </w:r>
          </w:p>
        </w:tc>
        <w:tc>
          <w:tcPr>
            <w:tcW w:type="dxa" w:w="1234"/>
          </w:tcPr>
          <w:p>
            <w:r>
              <w:rPr>
                <w:rFonts w:ascii="Calibri" w:hAnsi="Calibri"/>
                <w:sz w:val="22"/>
              </w:rPr>
              <w:t>$3,175</w:t>
            </w:r>
          </w:p>
        </w:tc>
        <w:tc>
          <w:tcPr>
            <w:tcW w:type="dxa" w:w="1234"/>
          </w:tcPr>
          <w:p>
            <w:r>
              <w:rPr>
                <w:rFonts w:ascii="Calibri" w:hAnsi="Calibri"/>
                <w:sz w:val="22"/>
              </w:rPr>
              <w:t>$3,610</w:t>
            </w:r>
          </w:p>
        </w:tc>
        <w:tc>
          <w:tcPr>
            <w:tcW w:type="dxa" w:w="1234"/>
          </w:tcPr>
          <w:p>
            <w:r>
              <w:rPr>
                <w:rFonts w:ascii="Calibri" w:hAnsi="Calibri"/>
                <w:sz w:val="22"/>
              </w:rPr>
              <w:t>+13.7%</w:t>
            </w:r>
          </w:p>
        </w:tc>
        <w:tc>
          <w:tcPr>
            <w:tcW w:type="dxa" w:w="1234"/>
          </w:tcPr>
          <w:p>
            <w:r>
              <w:rPr>
                <w:rFonts w:ascii="Calibri" w:hAnsi="Calibri"/>
                <w:sz w:val="22"/>
              </w:rPr>
              <w:t>$3,575</w:t>
            </w:r>
          </w:p>
        </w:tc>
        <w:tc>
          <w:tcPr>
            <w:tcW w:type="dxa" w:w="1234"/>
          </w:tcPr>
          <w:p>
            <w:r>
              <w:rPr>
                <w:rFonts w:ascii="Calibri" w:hAnsi="Calibri"/>
                <w:sz w:val="22"/>
              </w:rPr>
              <w:t>+1.0%</w:t>
            </w:r>
          </w:p>
        </w:tc>
      </w:tr>
      <w:tr>
        <w:tc>
          <w:tcPr>
            <w:tcW w:type="dxa" w:w="1234"/>
          </w:tcPr>
          <w:p>
            <w:r>
              <w:rPr>
                <w:rFonts w:ascii="Calibri" w:hAnsi="Calibri"/>
                <w:sz w:val="22"/>
              </w:rPr>
              <w:t>Non-GAAP EPS (Diluted)</w:t>
            </w:r>
          </w:p>
        </w:tc>
        <w:tc>
          <w:tcPr>
            <w:tcW w:type="dxa" w:w="1234"/>
          </w:tcPr>
          <w:p>
            <w:r>
              <w:rPr>
                <w:rFonts w:ascii="Calibri" w:hAnsi="Calibri"/>
                <w:sz w:val="22"/>
              </w:rPr>
              <w:t>$9.40</w:t>
            </w:r>
          </w:p>
        </w:tc>
        <w:tc>
          <w:tcPr>
            <w:tcW w:type="dxa" w:w="1234"/>
          </w:tcPr>
          <w:p>
            <w:r>
              <w:rPr>
                <w:rFonts w:ascii="Calibri" w:hAnsi="Calibri"/>
                <w:sz w:val="22"/>
              </w:rPr>
              <w:t>$9.38</w:t>
            </w:r>
          </w:p>
        </w:tc>
        <w:tc>
          <w:tcPr>
            <w:tcW w:type="dxa" w:w="1234"/>
          </w:tcPr>
          <w:p>
            <w:r>
              <w:rPr>
                <w:rFonts w:ascii="Calibri" w:hAnsi="Calibri"/>
                <w:sz w:val="22"/>
              </w:rPr>
              <w:t>$9.91</w:t>
            </w:r>
          </w:p>
        </w:tc>
        <w:tc>
          <w:tcPr>
            <w:tcW w:type="dxa" w:w="1234"/>
          </w:tcPr>
          <w:p>
            <w:r>
              <w:rPr>
                <w:rFonts w:ascii="Calibri" w:hAnsi="Calibri"/>
                <w:sz w:val="22"/>
              </w:rPr>
              <w:t>+5.7%</w:t>
            </w:r>
          </w:p>
        </w:tc>
        <w:tc>
          <w:tcPr>
            <w:tcW w:type="dxa" w:w="1234"/>
          </w:tcPr>
          <w:p>
            <w:r>
              <w:rPr>
                <w:rFonts w:ascii="Calibri" w:hAnsi="Calibri"/>
                <w:sz w:val="22"/>
              </w:rPr>
              <w:t>$9.87</w:t>
            </w:r>
          </w:p>
        </w:tc>
        <w:tc>
          <w:tcPr>
            <w:tcW w:type="dxa" w:w="1234"/>
          </w:tcPr>
          <w:p>
            <w:r>
              <w:rPr>
                <w:rFonts w:ascii="Calibri" w:hAnsi="Calibri"/>
                <w:sz w:val="22"/>
              </w:rPr>
              <w:t>+0.4%</w:t>
            </w:r>
          </w:p>
        </w:tc>
      </w:tr>
      <w:tr>
        <w:tc>
          <w:tcPr>
            <w:tcW w:type="dxa" w:w="1234"/>
          </w:tcPr>
          <w:p>
            <w:r>
              <w:rPr>
                <w:rFonts w:ascii="Calibri" w:hAnsi="Calibri"/>
                <w:sz w:val="22"/>
              </w:rPr>
              <w:t>Gross Profit - Operating ($M)</w:t>
            </w:r>
          </w:p>
        </w:tc>
        <w:tc>
          <w:tcPr>
            <w:tcW w:type="dxa" w:w="1234"/>
          </w:tcPr>
          <w:p>
            <w:r>
              <w:rPr>
                <w:rFonts w:ascii="Calibri" w:hAnsi="Calibri"/>
                <w:sz w:val="22"/>
              </w:rPr>
              <w:t>$2,125</w:t>
            </w:r>
          </w:p>
        </w:tc>
        <w:tc>
          <w:tcPr>
            <w:tcW w:type="dxa" w:w="1234"/>
          </w:tcPr>
          <w:p>
            <w:r>
              <w:rPr>
                <w:rFonts w:ascii="Calibri" w:hAnsi="Calibri"/>
                <w:sz w:val="22"/>
              </w:rPr>
              <w:t>$2,008</w:t>
            </w:r>
          </w:p>
        </w:tc>
        <w:tc>
          <w:tcPr>
            <w:tcW w:type="dxa" w:w="1234"/>
          </w:tcPr>
          <w:p>
            <w:r>
              <w:rPr>
                <w:rFonts w:ascii="Calibri" w:hAnsi="Calibri"/>
                <w:sz w:val="22"/>
              </w:rPr>
              <w:t>$2,235</w:t>
            </w:r>
          </w:p>
        </w:tc>
        <w:tc>
          <w:tcPr>
            <w:tcW w:type="dxa" w:w="1234"/>
          </w:tcPr>
          <w:p>
            <w:r>
              <w:rPr>
                <w:rFonts w:ascii="Calibri" w:hAnsi="Calibri"/>
                <w:sz w:val="22"/>
              </w:rPr>
              <w:t>+11.3%</w:t>
            </w:r>
          </w:p>
        </w:tc>
        <w:tc>
          <w:tcPr>
            <w:tcW w:type="dxa" w:w="1234"/>
          </w:tcPr>
          <w:p>
            <w:r>
              <w:rPr>
                <w:rFonts w:ascii="Calibri" w:hAnsi="Calibri"/>
                <w:sz w:val="22"/>
              </w:rPr>
              <w:t>~61.75% GM</w:t>
            </w:r>
          </w:p>
        </w:tc>
        <w:tc>
          <w:tcPr>
            <w:tcW w:type="dxa" w:w="1234"/>
          </w:tcPr>
          <w:p>
            <w:r>
              <w:rPr>
                <w:rFonts w:ascii="Calibri" w:hAnsi="Calibri"/>
                <w:sz w:val="22"/>
              </w:rPr>
              <w:t>N/A</w:t>
            </w:r>
          </w:p>
        </w:tc>
      </w:tr>
      <w:tr>
        <w:tc>
          <w:tcPr>
            <w:tcW w:type="dxa" w:w="1234"/>
          </w:tcPr>
          <w:p>
            <w:r>
              <w:rPr>
                <w:rFonts w:ascii="Calibri" w:hAnsi="Calibri"/>
                <w:sz w:val="22"/>
              </w:rPr>
              <w:t>Operating Income - Operating ($M)</w:t>
            </w:r>
          </w:p>
        </w:tc>
        <w:tc>
          <w:tcPr>
            <w:tcW w:type="dxa" w:w="1234"/>
          </w:tcPr>
          <w:p>
            <w:r>
              <w:rPr>
                <w:rFonts w:ascii="Calibri" w:hAnsi="Calibri"/>
                <w:sz w:val="22"/>
              </w:rPr>
              <w:t>$1,454</w:t>
            </w:r>
          </w:p>
        </w:tc>
        <w:tc>
          <w:tcPr>
            <w:tcW w:type="dxa" w:w="1234"/>
          </w:tcPr>
          <w:p>
            <w:r>
              <w:rPr>
                <w:rFonts w:ascii="Calibri" w:hAnsi="Calibri"/>
                <w:sz w:val="22"/>
              </w:rPr>
              <w:t>$1,405</w:t>
            </w:r>
          </w:p>
        </w:tc>
        <w:tc>
          <w:tcPr>
            <w:tcW w:type="dxa" w:w="1234"/>
          </w:tcPr>
          <w:p>
            <w:r>
              <w:rPr>
                <w:rFonts w:ascii="Calibri" w:hAnsi="Calibri"/>
                <w:sz w:val="22"/>
              </w:rPr>
              <w:t>$1,565</w:t>
            </w:r>
          </w:p>
        </w:tc>
        <w:tc>
          <w:tcPr>
            <w:tcW w:type="dxa" w:w="1234"/>
          </w:tcPr>
          <w:p>
            <w:r>
              <w:rPr>
                <w:rFonts w:ascii="Calibri" w:hAnsi="Calibri"/>
                <w:sz w:val="22"/>
              </w:rPr>
              <w:t>+11.4%</w:t>
            </w:r>
          </w:p>
        </w:tc>
        <w:tc>
          <w:tcPr>
            <w:tcW w:type="dxa" w:w="1234"/>
          </w:tcPr>
          <w:p>
            <w:r>
              <w:rPr>
                <w:rFonts w:ascii="Calibri" w:hAnsi="Calibri"/>
                <w:sz w:val="22"/>
              </w:rPr>
              <w:t>~$1,540 (implied)</w:t>
            </w:r>
          </w:p>
        </w:tc>
        <w:tc>
          <w:tcPr>
            <w:tcW w:type="dxa" w:w="1234"/>
          </w:tcPr>
          <w:p>
            <w:r>
              <w:rPr>
                <w:rFonts w:ascii="Calibri" w:hAnsi="Calibri"/>
                <w:sz w:val="22"/>
              </w:rPr>
              <w:t>+1.6%</w:t>
            </w:r>
          </w:p>
        </w:tc>
      </w:tr>
      <w:tr>
        <w:tc>
          <w:tcPr>
            <w:tcW w:type="dxa" w:w="1234"/>
          </w:tcPr>
          <w:p>
            <w:r>
              <w:rPr>
                <w:rFonts w:ascii="Calibri" w:hAnsi="Calibri"/>
                <w:sz w:val="22"/>
              </w:rPr>
              <w:t>Revenue - Product ($M)</w:t>
            </w:r>
          </w:p>
        </w:tc>
        <w:tc>
          <w:tcPr>
            <w:tcW w:type="dxa" w:w="1234"/>
          </w:tcPr>
          <w:p>
            <w:r>
              <w:rPr>
                <w:rFonts w:ascii="Calibri" w:hAnsi="Calibri"/>
                <w:sz w:val="22"/>
              </w:rPr>
              <w:t>$2,640</w:t>
            </w:r>
          </w:p>
        </w:tc>
        <w:tc>
          <w:tcPr>
            <w:tcW w:type="dxa" w:w="1234"/>
          </w:tcPr>
          <w:p>
            <w:r>
              <w:rPr>
                <w:rFonts w:ascii="Calibri" w:hAnsi="Calibri"/>
                <w:sz w:val="22"/>
              </w:rPr>
              <w:t>$2,472</w:t>
            </w:r>
          </w:p>
        </w:tc>
        <w:tc>
          <w:tcPr>
            <w:tcW w:type="dxa" w:w="1234"/>
          </w:tcPr>
          <w:p>
            <w:r>
              <w:rPr>
                <w:rFonts w:ascii="Calibri" w:hAnsi="Calibri"/>
                <w:sz w:val="22"/>
              </w:rPr>
              <w:t>$2,812</w:t>
            </w:r>
          </w:p>
        </w:tc>
        <w:tc>
          <w:tcPr>
            <w:tcW w:type="dxa" w:w="1234"/>
          </w:tcPr>
          <w:p>
            <w:r>
              <w:rPr>
                <w:rFonts w:ascii="Calibri" w:hAnsi="Calibri"/>
                <w:sz w:val="22"/>
              </w:rPr>
              <w:t>+13.7%</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Revenue - Service ($M)</w:t>
            </w:r>
          </w:p>
        </w:tc>
        <w:tc>
          <w:tcPr>
            <w:tcW w:type="dxa" w:w="1234"/>
          </w:tcPr>
          <w:p>
            <w:r>
              <w:rPr>
                <w:rFonts w:ascii="Calibri" w:hAnsi="Calibri"/>
                <w:sz w:val="22"/>
              </w:rPr>
              <w:t>$775</w:t>
            </w:r>
          </w:p>
        </w:tc>
        <w:tc>
          <w:tcPr>
            <w:tcW w:type="dxa" w:w="1234"/>
          </w:tcPr>
          <w:p>
            <w:r>
              <w:rPr>
                <w:rFonts w:ascii="Calibri" w:hAnsi="Calibri"/>
                <w:sz w:val="22"/>
              </w:rPr>
              <w:t>$703</w:t>
            </w:r>
          </w:p>
        </w:tc>
        <w:tc>
          <w:tcPr>
            <w:tcW w:type="dxa" w:w="1234"/>
          </w:tcPr>
          <w:p>
            <w:r>
              <w:rPr>
                <w:rFonts w:ascii="Calibri" w:hAnsi="Calibri"/>
                <w:sz w:val="22"/>
              </w:rPr>
              <w:t>$813</w:t>
            </w:r>
          </w:p>
        </w:tc>
        <w:tc>
          <w:tcPr>
            <w:tcW w:type="dxa" w:w="1234"/>
          </w:tcPr>
          <w:p>
            <w:r>
              <w:rPr>
                <w:rFonts w:ascii="Calibri" w:hAnsi="Calibri"/>
                <w:sz w:val="22"/>
              </w:rPr>
              <w:t>+15.6%</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SPC Systems Revenue ($M)</w:t>
            </w:r>
          </w:p>
        </w:tc>
        <w:tc>
          <w:tcPr>
            <w:tcW w:type="dxa" w:w="1234"/>
          </w:tcPr>
          <w:p>
            <w:r>
              <w:rPr>
                <w:rFonts w:ascii="Calibri" w:hAnsi="Calibri"/>
                <w:sz w:val="22"/>
              </w:rPr>
              <w:t>$2,401</w:t>
            </w:r>
          </w:p>
        </w:tc>
        <w:tc>
          <w:tcPr>
            <w:tcW w:type="dxa" w:w="1234"/>
          </w:tcPr>
          <w:p>
            <w:r>
              <w:rPr>
                <w:rFonts w:ascii="Calibri" w:hAnsi="Calibri"/>
                <w:sz w:val="22"/>
              </w:rPr>
              <w:t>$2,264</w:t>
            </w:r>
          </w:p>
        </w:tc>
        <w:tc>
          <w:tcPr>
            <w:tcW w:type="dxa" w:w="1234"/>
          </w:tcPr>
          <w:p>
            <w:r>
              <w:rPr>
                <w:rFonts w:ascii="Calibri" w:hAnsi="Calibri"/>
                <w:sz w:val="22"/>
              </w:rPr>
              <w:t>$2,538</w:t>
            </w:r>
          </w:p>
        </w:tc>
        <w:tc>
          <w:tcPr>
            <w:tcW w:type="dxa" w:w="1234"/>
          </w:tcPr>
          <w:p>
            <w:r>
              <w:rPr>
                <w:rFonts w:ascii="Calibri" w:hAnsi="Calibri"/>
                <w:sz w:val="22"/>
              </w:rPr>
              <w:t>+12.1%</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$622</w:t>
            </w:r>
          </w:p>
        </w:tc>
        <w:tc>
          <w:tcPr>
            <w:tcW w:type="dxa" w:w="1234"/>
          </w:tcPr>
          <w:p>
            <w:r>
              <w:rPr>
                <w:rFonts w:ascii="Calibri" w:hAnsi="Calibri"/>
                <w:sz w:val="22"/>
              </w:rPr>
              <w:t>$1,065</w:t>
            </w:r>
          </w:p>
        </w:tc>
        <w:tc>
          <w:tcPr>
            <w:tcW w:type="dxa" w:w="1234"/>
          </w:tcPr>
          <w:p>
            <w:r>
              <w:rPr>
                <w:rFonts w:ascii="Calibri" w:hAnsi="Calibri"/>
                <w:sz w:val="22"/>
              </w:rPr>
              <w:t>$1,269</w:t>
            </w:r>
          </w:p>
        </w:tc>
        <w:tc>
          <w:tcPr>
            <w:tcW w:type="dxa" w:w="1234"/>
          </w:tcPr>
          <w:p>
            <w:r>
              <w:rPr>
                <w:rFonts w:ascii="Calibri" w:hAnsi="Calibri"/>
                <w:sz w:val="22"/>
              </w:rPr>
              <w:t>+19.1%</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Q4 FY2026 = June quarter ending June 30, 2026. Guidance midpoints from KLA Q3 FY2026 earnings call (April 29, 2026). Q3 FY2026 actuals are the last reported quarter. Prior year period is Q4 FY2025 (June quarter 2025). Free cash flow Q3 FY2026 actual reflects the reported quarter; consensus is latest VA estimate.</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FY2026</w:t>
            </w:r>
          </w:p>
        </w:tc>
        <w:tc>
          <w:tcPr>
            <w:tcW w:type="dxa" w:w="1440"/>
          </w:tcPr>
          <w:p>
            <w:r>
              <w:rPr>
                <w:rFonts w:ascii="Calibri" w:hAnsi="Calibri"/>
                <w:sz w:val="22"/>
              </w:rPr>
              <w:t>Revenue ($M)</w:t>
            </w:r>
          </w:p>
        </w:tc>
        <w:tc>
          <w:tcPr>
            <w:tcW w:type="dxa" w:w="1440"/>
          </w:tcPr>
          <w:p>
            <w:r>
              <w:rPr>
                <w:rFonts w:ascii="Calibri" w:hAnsi="Calibri"/>
                <w:sz w:val="22"/>
              </w:rPr>
              <w:t>$3,415</w:t>
            </w:r>
          </w:p>
        </w:tc>
        <w:tc>
          <w:tcPr>
            <w:tcW w:type="dxa" w:w="1440"/>
          </w:tcPr>
          <w:p>
            <w:r>
              <w:rPr>
                <w:rFonts w:ascii="Calibri" w:hAnsi="Calibri"/>
                <w:sz w:val="22"/>
              </w:rPr>
              <w:t>$3,376</w:t>
            </w:r>
          </w:p>
        </w:tc>
        <w:tc>
          <w:tcPr>
            <w:tcW w:type="dxa" w:w="1440"/>
          </w:tcPr>
          <w:p>
            <w:r>
              <w:rPr>
                <w:rFonts w:ascii="Calibri" w:hAnsi="Calibri"/>
                <w:b/>
                <w:color w:val="30A46C"/>
                <w:sz w:val="22"/>
              </w:rPr>
              <w:t>+1.2%</w:t>
            </w:r>
          </w:p>
        </w:tc>
        <w:tc>
          <w:tcPr>
            <w:tcW w:type="dxa" w:w="1440"/>
          </w:tcPr>
          <w:p>
            <w:r>
              <w:rPr>
                <w:rFonts w:ascii="Calibri" w:hAnsi="Calibri"/>
                <w:sz w:val="22"/>
              </w:rPr>
              <w:t>Beat</w:t>
            </w:r>
          </w:p>
        </w:tc>
      </w:tr>
      <w:tr>
        <w:tc>
          <w:tcPr>
            <w:tcW w:type="dxa" w:w="1440"/>
          </w:tcPr>
          <w:p>
            <w:r>
              <w:rPr>
                <w:rFonts w:ascii="Calibri" w:hAnsi="Calibri"/>
                <w:sz w:val="22"/>
              </w:rPr>
              <w:t>Q3 FY2026</w:t>
            </w:r>
          </w:p>
        </w:tc>
        <w:tc>
          <w:tcPr>
            <w:tcW w:type="dxa" w:w="1440"/>
          </w:tcPr>
          <w:p>
            <w:r>
              <w:rPr>
                <w:rFonts w:ascii="Calibri" w:hAnsi="Calibri"/>
                <w:sz w:val="22"/>
              </w:rPr>
              <w:t>Non-GAAP EPS</w:t>
            </w:r>
          </w:p>
        </w:tc>
        <w:tc>
          <w:tcPr>
            <w:tcW w:type="dxa" w:w="1440"/>
          </w:tcPr>
          <w:p>
            <w:r>
              <w:rPr>
                <w:rFonts w:ascii="Calibri" w:hAnsi="Calibri"/>
                <w:sz w:val="22"/>
              </w:rPr>
              <w:t>$9.40</w:t>
            </w:r>
          </w:p>
        </w:tc>
        <w:tc>
          <w:tcPr>
            <w:tcW w:type="dxa" w:w="1440"/>
          </w:tcPr>
          <w:p>
            <w:r>
              <w:rPr>
                <w:rFonts w:ascii="Calibri" w:hAnsi="Calibri"/>
                <w:sz w:val="22"/>
              </w:rPr>
              <w:t>$9.15</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Q2 FY2026</w:t>
            </w:r>
          </w:p>
        </w:tc>
        <w:tc>
          <w:tcPr>
            <w:tcW w:type="dxa" w:w="1440"/>
          </w:tcPr>
          <w:p>
            <w:r>
              <w:rPr>
                <w:rFonts w:ascii="Calibri" w:hAnsi="Calibri"/>
                <w:sz w:val="22"/>
              </w:rPr>
              <w:t>Revenue ($M)</w:t>
            </w:r>
          </w:p>
        </w:tc>
        <w:tc>
          <w:tcPr>
            <w:tcW w:type="dxa" w:w="1440"/>
          </w:tcPr>
          <w:p>
            <w:r>
              <w:rPr>
                <w:rFonts w:ascii="Calibri" w:hAnsi="Calibri"/>
                <w:sz w:val="22"/>
              </w:rPr>
              <w:t>$3,297</w:t>
            </w:r>
          </w:p>
        </w:tc>
        <w:tc>
          <w:tcPr>
            <w:tcW w:type="dxa" w:w="1440"/>
          </w:tcPr>
          <w:p>
            <w:r>
              <w:rPr>
                <w:rFonts w:ascii="Calibri" w:hAnsi="Calibri"/>
                <w:sz w:val="22"/>
              </w:rPr>
              <w:t>$3,253</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Q2 FY2026</w:t>
            </w:r>
          </w:p>
        </w:tc>
        <w:tc>
          <w:tcPr>
            <w:tcW w:type="dxa" w:w="1440"/>
          </w:tcPr>
          <w:p>
            <w:r>
              <w:rPr>
                <w:rFonts w:ascii="Calibri" w:hAnsi="Calibri"/>
                <w:sz w:val="22"/>
              </w:rPr>
              <w:t>Non-GAAP EPS</w:t>
            </w:r>
          </w:p>
        </w:tc>
        <w:tc>
          <w:tcPr>
            <w:tcW w:type="dxa" w:w="1440"/>
          </w:tcPr>
          <w:p>
            <w:r>
              <w:rPr>
                <w:rFonts w:ascii="Calibri" w:hAnsi="Calibri"/>
                <w:sz w:val="22"/>
              </w:rPr>
              <w:t>$8.85</w:t>
            </w:r>
          </w:p>
        </w:tc>
        <w:tc>
          <w:tcPr>
            <w:tcW w:type="dxa" w:w="1440"/>
          </w:tcPr>
          <w:p>
            <w:r>
              <w:rPr>
                <w:rFonts w:ascii="Calibri" w:hAnsi="Calibri"/>
                <w:sz w:val="22"/>
              </w:rPr>
              <w:t>$8.81</w:t>
            </w:r>
          </w:p>
        </w:tc>
        <w:tc>
          <w:tcPr>
            <w:tcW w:type="dxa" w:w="1440"/>
          </w:tcPr>
          <w:p>
            <w:r>
              <w:rPr>
                <w:rFonts w:ascii="Calibri" w:hAnsi="Calibri"/>
                <w:b/>
                <w:color w:val="30A46C"/>
                <w:sz w:val="22"/>
              </w:rPr>
              <w:t>+0.5%</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Revenue ($M)</w:t>
            </w:r>
          </w:p>
        </w:tc>
        <w:tc>
          <w:tcPr>
            <w:tcW w:type="dxa" w:w="1440"/>
          </w:tcPr>
          <w:p>
            <w:r>
              <w:rPr>
                <w:rFonts w:ascii="Calibri" w:hAnsi="Calibri"/>
                <w:sz w:val="22"/>
              </w:rPr>
              <w:t>$3,210</w:t>
            </w:r>
          </w:p>
        </w:tc>
        <w:tc>
          <w:tcPr>
            <w:tcW w:type="dxa" w:w="1440"/>
          </w:tcPr>
          <w:p>
            <w:r>
              <w:rPr>
                <w:rFonts w:ascii="Calibri" w:hAnsi="Calibri"/>
                <w:sz w:val="22"/>
              </w:rPr>
              <w:t>$3,176</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Non-GAAP EPS</w:t>
            </w:r>
          </w:p>
        </w:tc>
        <w:tc>
          <w:tcPr>
            <w:tcW w:type="dxa" w:w="1440"/>
          </w:tcPr>
          <w:p>
            <w:r>
              <w:rPr>
                <w:rFonts w:ascii="Calibri" w:hAnsi="Calibri"/>
                <w:sz w:val="22"/>
              </w:rPr>
              <w:t>$8.81</w:t>
            </w:r>
          </w:p>
        </w:tc>
        <w:tc>
          <w:tcPr>
            <w:tcW w:type="dxa" w:w="1440"/>
          </w:tcPr>
          <w:p>
            <w:r>
              <w:rPr>
                <w:rFonts w:ascii="Calibri" w:hAnsi="Calibri"/>
                <w:sz w:val="22"/>
              </w:rPr>
              <w:t>$8.65</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Revenue ($M)</w:t>
            </w:r>
          </w:p>
        </w:tc>
        <w:tc>
          <w:tcPr>
            <w:tcW w:type="dxa" w:w="1440"/>
          </w:tcPr>
          <w:p>
            <w:r>
              <w:rPr>
                <w:rFonts w:ascii="Calibri" w:hAnsi="Calibri"/>
                <w:sz w:val="22"/>
              </w:rPr>
              <w:t>$3,175</w:t>
            </w:r>
          </w:p>
        </w:tc>
        <w:tc>
          <w:tcPr>
            <w:tcW w:type="dxa" w:w="1440"/>
          </w:tcPr>
          <w:p>
            <w:r>
              <w:rPr>
                <w:rFonts w:ascii="Calibri" w:hAnsi="Calibri"/>
                <w:sz w:val="22"/>
              </w:rPr>
              <w:t>$3,082</w:t>
            </w:r>
          </w:p>
        </w:tc>
        <w:tc>
          <w:tcPr>
            <w:tcW w:type="dxa" w:w="1440"/>
          </w:tcPr>
          <w:p>
            <w:r>
              <w:rPr>
                <w:rFonts w:ascii="Calibri" w:hAnsi="Calibri"/>
                <w:b/>
                <w:color w:val="30A46C"/>
                <w:sz w:val="22"/>
              </w:rPr>
              <w:t>+3.0%</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Non-GAAP EPS</w:t>
            </w:r>
          </w:p>
        </w:tc>
        <w:tc>
          <w:tcPr>
            <w:tcW w:type="dxa" w:w="1440"/>
          </w:tcPr>
          <w:p>
            <w:r>
              <w:rPr>
                <w:rFonts w:ascii="Calibri" w:hAnsi="Calibri"/>
                <w:sz w:val="22"/>
              </w:rPr>
              <w:t>$9.38</w:t>
            </w:r>
          </w:p>
        </w:tc>
        <w:tc>
          <w:tcPr>
            <w:tcW w:type="dxa" w:w="1440"/>
          </w:tcPr>
          <w:p>
            <w:r>
              <w:rPr>
                <w:rFonts w:ascii="Calibri" w:hAnsi="Calibri"/>
                <w:sz w:val="22"/>
              </w:rPr>
              <w:t>$8.53</w:t>
            </w:r>
          </w:p>
        </w:tc>
        <w:tc>
          <w:tcPr>
            <w:tcW w:type="dxa" w:w="1440"/>
          </w:tcPr>
          <w:p>
            <w:r>
              <w:rPr>
                <w:rFonts w:ascii="Calibri" w:hAnsi="Calibri"/>
                <w:b/>
                <w:color w:val="30A46C"/>
                <w:sz w:val="22"/>
              </w:rPr>
              <w:t>+10.0%</w:t>
            </w:r>
          </w:p>
        </w:tc>
        <w:tc>
          <w:tcPr>
            <w:tcW w:type="dxa" w:w="1440"/>
          </w:tcPr>
          <w:p>
            <w:r>
              <w:rPr>
                <w:rFonts w:ascii="Calibri" w:hAnsi="Calibri"/>
                <w:sz w:val="22"/>
              </w:rPr>
              <w:t>Beat</w:t>
            </w:r>
          </w:p>
        </w:tc>
      </w:tr>
      <w:tr>
        <w:tc>
          <w:tcPr>
            <w:tcW w:type="dxa" w:w="1440"/>
          </w:tcPr>
          <w:p>
            <w:r>
              <w:rPr>
                <w:rFonts w:ascii="Calibri" w:hAnsi="Calibri"/>
                <w:sz w:val="22"/>
              </w:rPr>
              <w:t>Q3 FY2025</w:t>
            </w:r>
          </w:p>
        </w:tc>
        <w:tc>
          <w:tcPr>
            <w:tcW w:type="dxa" w:w="1440"/>
          </w:tcPr>
          <w:p>
            <w:r>
              <w:rPr>
                <w:rFonts w:ascii="Calibri" w:hAnsi="Calibri"/>
                <w:sz w:val="22"/>
              </w:rPr>
              <w:t>Revenue ($M)</w:t>
            </w:r>
          </w:p>
        </w:tc>
        <w:tc>
          <w:tcPr>
            <w:tcW w:type="dxa" w:w="1440"/>
          </w:tcPr>
          <w:p>
            <w:r>
              <w:rPr>
                <w:rFonts w:ascii="Calibri" w:hAnsi="Calibri"/>
                <w:sz w:val="22"/>
              </w:rPr>
              <w:t>$3,063</w:t>
            </w:r>
          </w:p>
        </w:tc>
        <w:tc>
          <w:tcPr>
            <w:tcW w:type="dxa" w:w="1440"/>
          </w:tcPr>
          <w:p>
            <w:r>
              <w:rPr>
                <w:rFonts w:ascii="Calibri" w:hAnsi="Calibri"/>
                <w:sz w:val="22"/>
              </w:rPr>
              <w:t>$3,009</w:t>
            </w:r>
          </w:p>
        </w:tc>
        <w:tc>
          <w:tcPr>
            <w:tcW w:type="dxa" w:w="1440"/>
          </w:tcPr>
          <w:p>
            <w:r>
              <w:rPr>
                <w:rFonts w:ascii="Calibri" w:hAnsi="Calibri"/>
                <w:b/>
                <w:color w:val="30A46C"/>
                <w:sz w:val="22"/>
              </w:rPr>
              <w:t>+1.8%</w:t>
            </w:r>
          </w:p>
        </w:tc>
        <w:tc>
          <w:tcPr>
            <w:tcW w:type="dxa" w:w="1440"/>
          </w:tcPr>
          <w:p>
            <w:r>
              <w:rPr>
                <w:rFonts w:ascii="Calibri" w:hAnsi="Calibri"/>
                <w:sz w:val="22"/>
              </w:rPr>
              <w:t>Beat</w:t>
            </w:r>
          </w:p>
        </w:tc>
      </w:tr>
      <w:tr>
        <w:tc>
          <w:tcPr>
            <w:tcW w:type="dxa" w:w="1440"/>
          </w:tcPr>
          <w:p>
            <w:r>
              <w:rPr>
                <w:rFonts w:ascii="Calibri" w:hAnsi="Calibri"/>
                <w:sz w:val="22"/>
              </w:rPr>
              <w:t>Q3 FY2025</w:t>
            </w:r>
          </w:p>
        </w:tc>
        <w:tc>
          <w:tcPr>
            <w:tcW w:type="dxa" w:w="1440"/>
          </w:tcPr>
          <w:p>
            <w:r>
              <w:rPr>
                <w:rFonts w:ascii="Calibri" w:hAnsi="Calibri"/>
                <w:sz w:val="22"/>
              </w:rPr>
              <w:t>Non-GAAP EPS</w:t>
            </w:r>
          </w:p>
        </w:tc>
        <w:tc>
          <w:tcPr>
            <w:tcW w:type="dxa" w:w="1440"/>
          </w:tcPr>
          <w:p>
            <w:r>
              <w:rPr>
                <w:rFonts w:ascii="Calibri" w:hAnsi="Calibri"/>
                <w:sz w:val="22"/>
              </w:rPr>
              <w:t>$8.41</w:t>
            </w:r>
          </w:p>
        </w:tc>
        <w:tc>
          <w:tcPr>
            <w:tcW w:type="dxa" w:w="1440"/>
          </w:tcPr>
          <w:p>
            <w:r>
              <w:rPr>
                <w:rFonts w:ascii="Calibri" w:hAnsi="Calibri"/>
                <w:sz w:val="22"/>
              </w:rPr>
              <w:t>$8.08</w:t>
            </w:r>
          </w:p>
        </w:tc>
        <w:tc>
          <w:tcPr>
            <w:tcW w:type="dxa" w:w="1440"/>
          </w:tcPr>
          <w:p>
            <w:r>
              <w:rPr>
                <w:rFonts w:ascii="Calibri" w:hAnsi="Calibri"/>
                <w:b/>
                <w:color w:val="30A46C"/>
                <w:sz w:val="22"/>
              </w:rPr>
              <w:t>+4.1%</w:t>
            </w:r>
          </w:p>
        </w:tc>
        <w:tc>
          <w:tcPr>
            <w:tcW w:type="dxa" w:w="1440"/>
          </w:tcPr>
          <w:p>
            <w:r>
              <w:rPr>
                <w:rFonts w:ascii="Calibri" w:hAnsi="Calibri"/>
                <w:sz w:val="22"/>
              </w:rPr>
              <w:t>Beat</w:t>
            </w:r>
          </w:p>
        </w:tc>
      </w:tr>
      <w:tr>
        <w:tc>
          <w:tcPr>
            <w:tcW w:type="dxa" w:w="1440"/>
          </w:tcPr>
          <w:p>
            <w:r>
              <w:rPr>
                <w:rFonts w:ascii="Calibri" w:hAnsi="Calibri"/>
                <w:sz w:val="22"/>
              </w:rPr>
              <w:t>Q2 FY2025</w:t>
            </w:r>
          </w:p>
        </w:tc>
        <w:tc>
          <w:tcPr>
            <w:tcW w:type="dxa" w:w="1440"/>
          </w:tcPr>
          <w:p>
            <w:r>
              <w:rPr>
                <w:rFonts w:ascii="Calibri" w:hAnsi="Calibri"/>
                <w:sz w:val="22"/>
              </w:rPr>
              <w:t>Revenue ($M)</w:t>
            </w:r>
          </w:p>
        </w:tc>
        <w:tc>
          <w:tcPr>
            <w:tcW w:type="dxa" w:w="1440"/>
          </w:tcPr>
          <w:p>
            <w:r>
              <w:rPr>
                <w:rFonts w:ascii="Calibri" w:hAnsi="Calibri"/>
                <w:sz w:val="22"/>
              </w:rPr>
              <w:t>$3,077</w:t>
            </w:r>
          </w:p>
        </w:tc>
        <w:tc>
          <w:tcPr>
            <w:tcW w:type="dxa" w:w="1440"/>
          </w:tcPr>
          <w:p>
            <w:r>
              <w:rPr>
                <w:rFonts w:ascii="Calibri" w:hAnsi="Calibri"/>
                <w:sz w:val="22"/>
              </w:rPr>
              <w:t>$2,945</w:t>
            </w:r>
          </w:p>
        </w:tc>
        <w:tc>
          <w:tcPr>
            <w:tcW w:type="dxa" w:w="1440"/>
          </w:tcPr>
          <w:p>
            <w:r>
              <w:rPr>
                <w:rFonts w:ascii="Calibri" w:hAnsi="Calibri"/>
                <w:b/>
                <w:color w:val="30A46C"/>
                <w:sz w:val="22"/>
              </w:rPr>
              <w:t>+4.5%</w:t>
            </w:r>
          </w:p>
        </w:tc>
        <w:tc>
          <w:tcPr>
            <w:tcW w:type="dxa" w:w="1440"/>
          </w:tcPr>
          <w:p>
            <w:r>
              <w:rPr>
                <w:rFonts w:ascii="Calibri" w:hAnsi="Calibri"/>
                <w:sz w:val="22"/>
              </w:rPr>
              <w:t>Beat</w:t>
            </w:r>
          </w:p>
        </w:tc>
      </w:tr>
      <w:tr>
        <w:tc>
          <w:tcPr>
            <w:tcW w:type="dxa" w:w="1440"/>
          </w:tcPr>
          <w:p>
            <w:r>
              <w:rPr>
                <w:rFonts w:ascii="Calibri" w:hAnsi="Calibri"/>
                <w:sz w:val="22"/>
              </w:rPr>
              <w:t>Q2 FY2025</w:t>
            </w:r>
          </w:p>
        </w:tc>
        <w:tc>
          <w:tcPr>
            <w:tcW w:type="dxa" w:w="1440"/>
          </w:tcPr>
          <w:p>
            <w:r>
              <w:rPr>
                <w:rFonts w:ascii="Calibri" w:hAnsi="Calibri"/>
                <w:sz w:val="22"/>
              </w:rPr>
              <w:t>Non-GAAP EPS</w:t>
            </w:r>
          </w:p>
        </w:tc>
        <w:tc>
          <w:tcPr>
            <w:tcW w:type="dxa" w:w="1440"/>
          </w:tcPr>
          <w:p>
            <w:r>
              <w:rPr>
                <w:rFonts w:ascii="Calibri" w:hAnsi="Calibri"/>
                <w:sz w:val="22"/>
              </w:rPr>
              <w:t>$8.20</w:t>
            </w:r>
          </w:p>
        </w:tc>
        <w:tc>
          <w:tcPr>
            <w:tcW w:type="dxa" w:w="1440"/>
          </w:tcPr>
          <w:p>
            <w:r>
              <w:rPr>
                <w:rFonts w:ascii="Calibri" w:hAnsi="Calibri"/>
                <w:sz w:val="22"/>
              </w:rPr>
              <w:t>$7.75</w:t>
            </w:r>
          </w:p>
        </w:tc>
        <w:tc>
          <w:tcPr>
            <w:tcW w:type="dxa" w:w="1440"/>
          </w:tcPr>
          <w:p>
            <w:r>
              <w:rPr>
                <w:rFonts w:ascii="Calibri" w:hAnsi="Calibri"/>
                <w:b/>
                <w:color w:val="30A46C"/>
                <w:sz w:val="22"/>
              </w:rPr>
              <w:t>+5.8%</w:t>
            </w:r>
          </w:p>
        </w:tc>
        <w:tc>
          <w:tcPr>
            <w:tcW w:type="dxa" w:w="1440"/>
          </w:tcPr>
          <w:p>
            <w:r>
              <w:rPr>
                <w:rFonts w:ascii="Calibri" w:hAnsi="Calibri"/>
                <w:sz w:val="22"/>
              </w:rPr>
              <w:t>Beat</w:t>
            </w:r>
          </w:p>
        </w:tc>
      </w:tr>
      <w:tr>
        <w:tc>
          <w:tcPr>
            <w:tcW w:type="dxa" w:w="1440"/>
          </w:tcPr>
          <w:p>
            <w:r>
              <w:rPr>
                <w:rFonts w:ascii="Calibri" w:hAnsi="Calibri"/>
                <w:sz w:val="22"/>
              </w:rPr>
              <w:t>Q1 FY2025</w:t>
            </w:r>
          </w:p>
        </w:tc>
        <w:tc>
          <w:tcPr>
            <w:tcW w:type="dxa" w:w="1440"/>
          </w:tcPr>
          <w:p>
            <w:r>
              <w:rPr>
                <w:rFonts w:ascii="Calibri" w:hAnsi="Calibri"/>
                <w:sz w:val="22"/>
              </w:rPr>
              <w:t>Revenue ($M)</w:t>
            </w:r>
          </w:p>
        </w:tc>
        <w:tc>
          <w:tcPr>
            <w:tcW w:type="dxa" w:w="1440"/>
          </w:tcPr>
          <w:p>
            <w:r>
              <w:rPr>
                <w:rFonts w:ascii="Calibri" w:hAnsi="Calibri"/>
                <w:sz w:val="22"/>
              </w:rPr>
              <w:t>$2,842</w:t>
            </w:r>
          </w:p>
        </w:tc>
        <w:tc>
          <w:tcPr>
            <w:tcW w:type="dxa" w:w="1440"/>
          </w:tcPr>
          <w:p>
            <w:r>
              <w:rPr>
                <w:rFonts w:ascii="Calibri" w:hAnsi="Calibri"/>
                <w:sz w:val="22"/>
              </w:rPr>
              <w:t>$2,755</w:t>
            </w:r>
          </w:p>
        </w:tc>
        <w:tc>
          <w:tcPr>
            <w:tcW w:type="dxa" w:w="1440"/>
          </w:tcPr>
          <w:p>
            <w:r>
              <w:rPr>
                <w:rFonts w:ascii="Calibri" w:hAnsi="Calibri"/>
                <w:b/>
                <w:color w:val="30A46C"/>
                <w:sz w:val="22"/>
              </w:rPr>
              <w:t>+3.2%</w:t>
            </w:r>
          </w:p>
        </w:tc>
        <w:tc>
          <w:tcPr>
            <w:tcW w:type="dxa" w:w="1440"/>
          </w:tcPr>
          <w:p>
            <w:r>
              <w:rPr>
                <w:rFonts w:ascii="Calibri" w:hAnsi="Calibri"/>
                <w:sz w:val="22"/>
              </w:rPr>
              <w:t>Beat</w:t>
            </w:r>
          </w:p>
        </w:tc>
      </w:tr>
      <w:tr>
        <w:tc>
          <w:tcPr>
            <w:tcW w:type="dxa" w:w="1440"/>
          </w:tcPr>
          <w:p>
            <w:r>
              <w:rPr>
                <w:rFonts w:ascii="Calibri" w:hAnsi="Calibri"/>
                <w:sz w:val="22"/>
              </w:rPr>
              <w:t>Q1 FY2025</w:t>
            </w:r>
          </w:p>
        </w:tc>
        <w:tc>
          <w:tcPr>
            <w:tcW w:type="dxa" w:w="1440"/>
          </w:tcPr>
          <w:p>
            <w:r>
              <w:rPr>
                <w:rFonts w:ascii="Calibri" w:hAnsi="Calibri"/>
                <w:sz w:val="22"/>
              </w:rPr>
              <w:t>Non-GAAP EPS</w:t>
            </w:r>
          </w:p>
        </w:tc>
        <w:tc>
          <w:tcPr>
            <w:tcW w:type="dxa" w:w="1440"/>
          </w:tcPr>
          <w:p>
            <w:r>
              <w:rPr>
                <w:rFonts w:ascii="Calibri" w:hAnsi="Calibri"/>
                <w:sz w:val="22"/>
              </w:rPr>
              <w:t>$7.33</w:t>
            </w:r>
          </w:p>
        </w:tc>
        <w:tc>
          <w:tcPr>
            <w:tcW w:type="dxa" w:w="1440"/>
          </w:tcPr>
          <w:p>
            <w:r>
              <w:rPr>
                <w:rFonts w:ascii="Calibri" w:hAnsi="Calibri"/>
                <w:sz w:val="22"/>
              </w:rPr>
              <w:t>$7.04</w:t>
            </w:r>
          </w:p>
        </w:tc>
        <w:tc>
          <w:tcPr>
            <w:tcW w:type="dxa" w:w="1440"/>
          </w:tcPr>
          <w:p>
            <w:r>
              <w:rPr>
                <w:rFonts w:ascii="Calibri" w:hAnsi="Calibri"/>
                <w:b/>
                <w:color w:val="30A46C"/>
                <w:sz w:val="22"/>
              </w:rPr>
              <w:t>+4.1%</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KLAC has beaten consensus on both revenue and non-GAAP EPS in each of the last 8 quarters, with EPS beats consistently larger than revenue beats — suggesting operating leverage and cost discipline are reliable upside drivers.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April 29 earnings call, but management’s tone has shifted meaningfully more bullish at subsequent conferences — the CFO’s June commentary pointing to ~20% WFE growth and reiterating 2027 acceleration represents a material positive tone shift above the initial guidance framing.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(April 29,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Q4 FY2026 Revenue</w:t>
            </w:r>
          </w:p>
        </w:tc>
        <w:tc>
          <w:tcPr>
            <w:tcW w:type="dxa" w:w="1728"/>
          </w:tcPr>
          <w:p>
            <w:r>
              <w:rPr>
                <w:rFonts w:ascii="Calibri" w:hAnsi="Calibri"/>
                <w:sz w:val="22"/>
              </w:rPr>
              <w:t>$3,575M ± $200M</w:t>
            </w:r>
          </w:p>
        </w:tc>
        <w:tc>
          <w:tcPr>
            <w:tcW w:type="dxa" w:w="1728"/>
          </w:tcPr>
          <w:p>
            <w:r>
              <w:rPr>
                <w:rFonts w:ascii="Calibri" w:hAnsi="Calibri"/>
                <w:sz w:val="22"/>
              </w:rPr>
              <w:t>—</w:t>
            </w:r>
          </w:p>
        </w:tc>
        <w:tc>
          <w:tcPr>
            <w:tcW w:type="dxa" w:w="1728"/>
          </w:tcPr>
          <w:p>
            <w:r>
              <w:rPr>
                <w:rFonts w:ascii="Calibri" w:hAnsi="Calibri"/>
                <w:sz w:val="22"/>
              </w:rPr>
              <w:t>$3,610M</w:t>
            </w:r>
          </w:p>
        </w:tc>
        <w:tc>
          <w:tcPr>
            <w:tcW w:type="dxa" w:w="1728"/>
          </w:tcPr>
          <w:p>
            <w:r>
              <w:rPr>
                <w:rFonts w:ascii="Calibri" w:hAnsi="Calibri"/>
                <w:sz w:val="22"/>
              </w:rPr>
              <w:t>Unchanged; consensus +1.0% above midpoint</w:t>
            </w:r>
          </w:p>
        </w:tc>
      </w:tr>
      <w:tr>
        <w:tc>
          <w:tcPr>
            <w:tcW w:type="dxa" w:w="1728"/>
          </w:tcPr>
          <w:p>
            <w:r>
              <w:rPr>
                <w:rFonts w:ascii="Calibri" w:hAnsi="Calibri"/>
                <w:sz w:val="22"/>
              </w:rPr>
              <w:t>Q4 FY2026 Non-GAAP EPS</w:t>
            </w:r>
          </w:p>
        </w:tc>
        <w:tc>
          <w:tcPr>
            <w:tcW w:type="dxa" w:w="1728"/>
          </w:tcPr>
          <w:p>
            <w:r>
              <w:rPr>
                <w:rFonts w:ascii="Calibri" w:hAnsi="Calibri"/>
                <w:sz w:val="22"/>
              </w:rPr>
              <w:t>$9.87 ± $1.00</w:t>
            </w:r>
          </w:p>
        </w:tc>
        <w:tc>
          <w:tcPr>
            <w:tcW w:type="dxa" w:w="1728"/>
          </w:tcPr>
          <w:p>
            <w:r>
              <w:rPr>
                <w:rFonts w:ascii="Calibri" w:hAnsi="Calibri"/>
                <w:sz w:val="22"/>
              </w:rPr>
              <w:t>—</w:t>
            </w:r>
          </w:p>
        </w:tc>
        <w:tc>
          <w:tcPr>
            <w:tcW w:type="dxa" w:w="1728"/>
          </w:tcPr>
          <w:p>
            <w:r>
              <w:rPr>
                <w:rFonts w:ascii="Calibri" w:hAnsi="Calibri"/>
                <w:sz w:val="22"/>
              </w:rPr>
              <w:t>$9.91</w:t>
            </w:r>
          </w:p>
        </w:tc>
        <w:tc>
          <w:tcPr>
            <w:tcW w:type="dxa" w:w="1728"/>
          </w:tcPr>
          <w:p>
            <w:r>
              <w:rPr>
                <w:rFonts w:ascii="Calibri" w:hAnsi="Calibri"/>
                <w:sz w:val="22"/>
              </w:rPr>
              <w:t>Unchanged; consensus +0.4% above midpoint</w:t>
            </w:r>
          </w:p>
        </w:tc>
      </w:tr>
      <w:tr>
        <w:tc>
          <w:tcPr>
            <w:tcW w:type="dxa" w:w="1728"/>
          </w:tcPr>
          <w:p>
            <w:r>
              <w:rPr>
                <w:rFonts w:ascii="Calibri" w:hAnsi="Calibri"/>
                <w:sz w:val="22"/>
              </w:rPr>
              <w:t>Q4 FY2026 Gross Margin</w:t>
            </w:r>
          </w:p>
        </w:tc>
        <w:tc>
          <w:tcPr>
            <w:tcW w:type="dxa" w:w="1728"/>
          </w:tcPr>
          <w:p>
            <w:r>
              <w:rPr>
                <w:rFonts w:ascii="Calibri" w:hAnsi="Calibri"/>
                <w:sz w:val="22"/>
              </w:rPr>
              <w:t>61.75% ± 100bps</w:t>
            </w:r>
          </w:p>
        </w:tc>
        <w:tc>
          <w:tcPr>
            <w:tcW w:type="dxa" w:w="1728"/>
          </w:tcPr>
          <w:p>
            <w:r>
              <w:rPr>
                <w:rFonts w:ascii="Calibri" w:hAnsi="Calibri"/>
                <w:sz w:val="22"/>
              </w:rPr>
              <w:t>—</w:t>
            </w:r>
          </w:p>
        </w:tc>
        <w:tc>
          <w:tcPr>
            <w:tcW w:type="dxa" w:w="1728"/>
          </w:tcPr>
          <w:p>
            <w:r>
              <w:rPr>
                <w:rFonts w:ascii="Calibri" w:hAnsi="Calibri"/>
                <w:sz w:val="22"/>
              </w:rPr>
              <w:t>~61.9% (implied)</w:t>
            </w:r>
          </w:p>
        </w:tc>
        <w:tc>
          <w:tcPr>
            <w:tcW w:type="dxa" w:w="1728"/>
          </w:tcPr>
          <w:p>
            <w:r>
              <w:rPr>
                <w:rFonts w:ascii="Calibri" w:hAnsi="Calibri"/>
                <w:sz w:val="22"/>
              </w:rPr>
              <w:t>Unchanged; DRAM chip cost headwind ~100bps persists through CY2026</w:t>
            </w:r>
          </w:p>
        </w:tc>
      </w:tr>
      <w:tr>
        <w:tc>
          <w:tcPr>
            <w:tcW w:type="dxa" w:w="1728"/>
          </w:tcPr>
          <w:p>
            <w:r>
              <w:rPr>
                <w:rFonts w:ascii="Calibri" w:hAnsi="Calibri"/>
                <w:sz w:val="22"/>
              </w:rPr>
              <w:t>FY2026 Revenue Growth</w:t>
            </w:r>
          </w:p>
        </w:tc>
        <w:tc>
          <w:tcPr>
            <w:tcW w:type="dxa" w:w="1728"/>
          </w:tcPr>
          <w:p>
            <w:r>
              <w:rPr>
                <w:rFonts w:ascii="Calibri" w:hAnsi="Calibri"/>
                <w:sz w:val="22"/>
              </w:rPr>
              <w:t>High-teens YoY; SPC Systems &gt;20%</w:t>
            </w:r>
          </w:p>
        </w:tc>
        <w:tc>
          <w:tcPr>
            <w:tcW w:type="dxa" w:w="1728"/>
          </w:tcPr>
          <w:p>
            <w:r>
              <w:rPr>
                <w:rFonts w:ascii="Calibri" w:hAnsi="Calibri"/>
                <w:sz w:val="22"/>
              </w:rPr>
              <w:t>—</w:t>
            </w:r>
          </w:p>
        </w:tc>
        <w:tc>
          <w:tcPr>
            <w:tcW w:type="dxa" w:w="1728"/>
          </w:tcPr>
          <w:p>
            <w:r>
              <w:rPr>
                <w:rFonts w:ascii="Calibri" w:hAnsi="Calibri"/>
                <w:sz w:val="22"/>
              </w:rPr>
              <w:t>$13,532M (+~18% YoY)</w:t>
            </w:r>
          </w:p>
        </w:tc>
        <w:tc>
          <w:tcPr>
            <w:tcW w:type="dxa" w:w="1728"/>
          </w:tcPr>
          <w:p>
            <w:r>
              <w:rPr>
                <w:rFonts w:ascii="Calibri" w:hAnsi="Calibri"/>
                <w:sz w:val="22"/>
              </w:rPr>
              <w:t>Unchanged; tracking to high-teens target</w:t>
            </w:r>
          </w:p>
        </w:tc>
      </w:tr>
      <w:tr>
        <w:tc>
          <w:tcPr>
            <w:tcW w:type="dxa" w:w="1728"/>
          </w:tcPr>
          <w:p>
            <w:r>
              <w:rPr>
                <w:rFonts w:ascii="Calibri" w:hAnsi="Calibri"/>
                <w:sz w:val="22"/>
              </w:rPr>
              <w:t>FY2026 Gross Margin</w:t>
            </w:r>
          </w:p>
        </w:tc>
        <w:tc>
          <w:tcPr>
            <w:tcW w:type="dxa" w:w="1728"/>
          </w:tcPr>
          <w:p>
            <w:r>
              <w:rPr>
                <w:rFonts w:ascii="Calibri" w:hAnsi="Calibri"/>
                <w:sz w:val="22"/>
              </w:rPr>
              <w:t>~62% ± 50bps for CY2026</w:t>
            </w:r>
          </w:p>
        </w:tc>
        <w:tc>
          <w:tcPr>
            <w:tcW w:type="dxa" w:w="1728"/>
          </w:tcPr>
          <w:p>
            <w:r>
              <w:rPr>
                <w:rFonts w:ascii="Calibri" w:hAnsi="Calibri"/>
                <w:sz w:val="22"/>
              </w:rPr>
              <w:t>—</w:t>
            </w:r>
          </w:p>
        </w:tc>
        <w:tc>
          <w:tcPr>
            <w:tcW w:type="dxa" w:w="1728"/>
          </w:tcPr>
          <w:p>
            <w:r>
              <w:rPr>
                <w:rFonts w:ascii="Calibri" w:hAnsi="Calibri"/>
                <w:sz w:val="22"/>
              </w:rPr>
              <w:t>~62.3% (FY implied)</w:t>
            </w:r>
          </w:p>
        </w:tc>
        <w:tc>
          <w:tcPr>
            <w:tcW w:type="dxa" w:w="1728"/>
          </w:tcPr>
          <w:p>
            <w:r>
              <w:rPr>
                <w:rFonts w:ascii="Calibri" w:hAnsi="Calibri"/>
                <w:sz w:val="22"/>
              </w:rPr>
              <w:t>Unchanged; tariff headwind moderating toward lower end of range per CFO</w:t>
            </w:r>
          </w:p>
        </w:tc>
      </w:tr>
      <w:tr>
        <w:tc>
          <w:tcPr>
            <w:tcW w:type="dxa" w:w="1728"/>
          </w:tcPr>
          <w:p>
            <w:r>
              <w:rPr>
                <w:rFonts w:ascii="Calibri" w:hAnsi="Calibri"/>
                <w:sz w:val="22"/>
              </w:rPr>
              <w:t>WFE Market 2026</w:t>
            </w:r>
          </w:p>
        </w:tc>
        <w:tc>
          <w:tcPr>
            <w:tcW w:type="dxa" w:w="1728"/>
          </w:tcPr>
          <w:p>
            <w:r>
              <w:rPr>
                <w:rFonts w:ascii="Calibri" w:hAnsi="Calibri"/>
                <w:sz w:val="22"/>
              </w:rPr>
              <w:t>Exceeds $140B (incl. adv. packaging)</w:t>
            </w:r>
          </w:p>
        </w:tc>
        <w:tc>
          <w:tcPr>
            <w:tcW w:type="dxa" w:w="1728"/>
          </w:tcPr>
          <w:p>
            <w:r>
              <w:rPr>
                <w:rFonts w:ascii="Calibri" w:hAnsi="Calibri"/>
                <w:sz w:val="22"/>
              </w:rPr>
              <w:t>~$150B+ (CFO tone, June BofA conf.)</w:t>
            </w:r>
          </w:p>
        </w:tc>
        <w:tc>
          <w:tcPr>
            <w:tcW w:type="dxa" w:w="1728"/>
          </w:tcPr>
          <w:p>
            <w:r>
              <w:rPr>
                <w:rFonts w:ascii="Calibri" w:hAnsi="Calibri"/>
                <w:sz w:val="22"/>
              </w:rPr>
              <w:t>N/A</w:t>
            </w:r>
          </w:p>
        </w:tc>
        <w:tc>
          <w:tcPr>
            <w:tcW w:type="dxa" w:w="1728"/>
          </w:tcPr>
          <w:p>
            <w:r>
              <w:rPr>
                <w:rFonts w:ascii="Calibri" w:hAnsi="Calibri"/>
                <w:sz w:val="22"/>
              </w:rPr>
              <w:t>↑ Tone raised at June 2026 BofA conference; CFO cited ~20% WFE growth potential and further upside to $140B+ figure</w:t>
            </w:r>
          </w:p>
        </w:tc>
      </w:tr>
      <w:tr>
        <w:tc>
          <w:tcPr>
            <w:tcW w:type="dxa" w:w="1728"/>
          </w:tcPr>
          <w:p>
            <w:r>
              <w:rPr>
                <w:rFonts w:ascii="Calibri" w:hAnsi="Calibri"/>
                <w:sz w:val="22"/>
              </w:rPr>
              <w:t>Advanced Packaging Revenue 2026</w:t>
            </w:r>
          </w:p>
        </w:tc>
        <w:tc>
          <w:tcPr>
            <w:tcW w:type="dxa" w:w="1728"/>
          </w:tcPr>
          <w:p>
            <w:r>
              <w:rPr>
                <w:rFonts w:ascii="Calibri" w:hAnsi="Calibri"/>
                <w:sz w:val="22"/>
              </w:rPr>
              <w:t>~$1B (raised from mid-to-high teens growth)</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Raised sharply at Q3 FY2026 earnings; upper-50% growth rate; second-half weighted</w:t>
            </w:r>
          </w:p>
        </w:tc>
      </w:tr>
      <w:tr>
        <w:tc>
          <w:tcPr>
            <w:tcW w:type="dxa" w:w="1728"/>
          </w:tcPr>
          <w:p>
            <w:r>
              <w:rPr>
                <w:rFonts w:ascii="Calibri" w:hAnsi="Calibri"/>
                <w:sz w:val="22"/>
              </w:rPr>
              <w:t>2027 WFE Outlook</w:t>
            </w:r>
          </w:p>
        </w:tc>
        <w:tc>
          <w:tcPr>
            <w:tcW w:type="dxa" w:w="1728"/>
          </w:tcPr>
          <w:p>
            <w:r>
              <w:rPr>
                <w:rFonts w:ascii="Calibri" w:hAnsi="Calibri"/>
                <w:sz w:val="22"/>
              </w:rPr>
              <w:t>Growth rate exceeds 2026 growth rate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Reiterated at June 2026 BofA conference; broad-based across foundry/logic, DRAM, NAND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 xml:space="preserve">Estimates for Q4 FY2026 have been remarkably stable since the April 29 print — revenue consensus moved only ~+$14M (+0.4%) and EPS moved only ~-$0.05 (-0.5%) — suggesting the street is anchored to guidance rather than pricing in incremental upside from the bullish conference commentary. </w:t>
      </w:r>
      <w:r>
        <w:rPr>
          <w:rFonts w:ascii="Calibri" w:hAnsi="Calibri"/>
          <w:color w:val="525866"/>
          <w:sz w:val="22"/>
        </w:rPr>
        <w:t>FY2027 estimates have moved up modestly (+1.2% revenue, -2.0% EPS), consistent with the 2027 WFE acceleration narrative but not yet fully reflecting it.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Last Earnings (as of May 6, 2026)</w:t>
            </w:r>
          </w:p>
        </w:tc>
        <w:tc>
          <w:tcPr>
            <w:tcW w:type="dxa" w:w="1080"/>
            <w:shd w:val="clear" w:color="auto" w:fill="3B4259"/>
          </w:tcPr>
          <w:p>
            <w:r>
              <w:rPr>
                <w:rFonts w:ascii="Calibri" w:hAnsi="Calibri"/>
                <w:b/>
                <w:color w:val="FFFFFF"/>
                <w:sz w:val="22"/>
              </w:rPr>
              <w:t>Current Consensus (July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(April 29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Q4 FY2026</w:t>
            </w:r>
          </w:p>
        </w:tc>
        <w:tc>
          <w:tcPr>
            <w:tcW w:type="dxa" w:w="1080"/>
          </w:tcPr>
          <w:p>
            <w:r>
              <w:rPr>
                <w:rFonts w:ascii="Calibri" w:hAnsi="Calibri"/>
                <w:sz w:val="22"/>
              </w:rPr>
              <w:t>$3,596M</w:t>
            </w:r>
          </w:p>
        </w:tc>
        <w:tc>
          <w:tcPr>
            <w:tcW w:type="dxa" w:w="1080"/>
          </w:tcPr>
          <w:p>
            <w:r>
              <w:rPr>
                <w:rFonts w:ascii="Calibri" w:hAnsi="Calibri"/>
                <w:sz w:val="22"/>
              </w:rPr>
              <w:t>$3,610M</w:t>
            </w:r>
          </w:p>
        </w:tc>
        <w:tc>
          <w:tcPr>
            <w:tcW w:type="dxa" w:w="1080"/>
          </w:tcPr>
          <w:p>
            <w:r>
              <w:rPr>
                <w:rFonts w:ascii="Calibri" w:hAnsi="Calibri"/>
                <w:sz w:val="22"/>
              </w:rPr>
              <w:t>+0.4%</w:t>
            </w:r>
          </w:p>
        </w:tc>
        <w:tc>
          <w:tcPr>
            <w:tcW w:type="dxa" w:w="1080"/>
          </w:tcPr>
          <w:p>
            <w:r>
              <w:rPr>
                <w:rFonts w:ascii="Calibri" w:hAnsi="Calibri"/>
                <w:sz w:val="22"/>
              </w:rPr>
              <w:t>$3,575M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w:t>
            </w:r>
          </w:p>
        </w:tc>
      </w:tr>
      <w:tr>
        <w:tc>
          <w:tcPr>
            <w:tcW w:type="dxa" w:w="1080"/>
          </w:tcPr>
          <w:p>
            <w:r>
              <w:rPr>
                <w:rFonts w:ascii="Calibri" w:hAnsi="Calibri"/>
                <w:sz w:val="22"/>
              </w:rPr>
              <w:t>Non-GAAP EPS — Q4 FY2026</w:t>
            </w:r>
          </w:p>
        </w:tc>
        <w:tc>
          <w:tcPr>
            <w:tcW w:type="dxa" w:w="1080"/>
          </w:tcPr>
          <w:p>
            <w:r>
              <w:rPr>
                <w:rFonts w:ascii="Calibri" w:hAnsi="Calibri"/>
                <w:sz w:val="22"/>
              </w:rPr>
              <w:t>$9.96</w:t>
            </w:r>
          </w:p>
        </w:tc>
        <w:tc>
          <w:tcPr>
            <w:tcW w:type="dxa" w:w="1080"/>
          </w:tcPr>
          <w:p>
            <w:r>
              <w:rPr>
                <w:rFonts w:ascii="Calibri" w:hAnsi="Calibri"/>
                <w:sz w:val="22"/>
              </w:rPr>
              <w:t>$9.91</w:t>
            </w:r>
          </w:p>
        </w:tc>
        <w:tc>
          <w:tcPr>
            <w:tcW w:type="dxa" w:w="1080"/>
          </w:tcPr>
          <w:p>
            <w:r>
              <w:rPr>
                <w:rFonts w:ascii="Calibri" w:hAnsi="Calibri"/>
                <w:sz w:val="22"/>
              </w:rPr>
              <w:t>-0.5%</w:t>
            </w:r>
          </w:p>
        </w:tc>
        <w:tc>
          <w:tcPr>
            <w:tcW w:type="dxa" w:w="1080"/>
          </w:tcPr>
          <w:p>
            <w:r>
              <w:rPr>
                <w:rFonts w:ascii="Calibri" w:hAnsi="Calibri"/>
                <w:sz w:val="22"/>
              </w:rPr>
              <w:t>$9.87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w:t>
            </w:r>
          </w:p>
        </w:tc>
      </w:tr>
      <w:tr>
        <w:tc>
          <w:tcPr>
            <w:tcW w:type="dxa" w:w="1080"/>
          </w:tcPr>
          <w:p>
            <w:r>
              <w:rPr>
                <w:rFonts w:ascii="Calibri" w:hAnsi="Calibri"/>
                <w:sz w:val="22"/>
              </w:rPr>
              <w:t>Revenue — FY2026</w:t>
            </w:r>
          </w:p>
        </w:tc>
        <w:tc>
          <w:tcPr>
            <w:tcW w:type="dxa" w:w="1080"/>
          </w:tcPr>
          <w:p>
            <w:r>
              <w:rPr>
                <w:rFonts w:ascii="Calibri" w:hAnsi="Calibri"/>
                <w:sz w:val="22"/>
              </w:rPr>
              <w:t>$13,518M</w:t>
            </w:r>
          </w:p>
        </w:tc>
        <w:tc>
          <w:tcPr>
            <w:tcW w:type="dxa" w:w="1080"/>
          </w:tcPr>
          <w:p>
            <w:r>
              <w:rPr>
                <w:rFonts w:ascii="Calibri" w:hAnsi="Calibri"/>
                <w:sz w:val="22"/>
              </w:rPr>
              <w:t>$13,532M</w:t>
            </w:r>
          </w:p>
        </w:tc>
        <w:tc>
          <w:tcPr>
            <w:tcW w:type="dxa" w:w="1080"/>
          </w:tcPr>
          <w:p>
            <w:r>
              <w:rPr>
                <w:rFonts w:ascii="Calibri" w:hAnsi="Calibri"/>
                <w:sz w:val="22"/>
              </w:rPr>
              <w:t>+0.1%</w:t>
            </w:r>
          </w:p>
        </w:tc>
        <w:tc>
          <w:tcPr>
            <w:tcW w:type="dxa" w:w="1080"/>
          </w:tcPr>
          <w:p>
            <w:r>
              <w:rPr>
                <w:rFonts w:ascii="Calibri" w:hAnsi="Calibri"/>
                <w:sz w:val="22"/>
              </w:rPr>
              <w:t>High-teens YoY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to target</w:t>
            </w:r>
          </w:p>
        </w:tc>
      </w:tr>
      <w:tr>
        <w:tc>
          <w:tcPr>
            <w:tcW w:type="dxa" w:w="1080"/>
          </w:tcPr>
          <w:p>
            <w:r>
              <w:rPr>
                <w:rFonts w:ascii="Calibri" w:hAnsi="Calibri"/>
                <w:sz w:val="22"/>
              </w:rPr>
              <w:t>Non-GAAP EPS — FY2026</w:t>
            </w:r>
          </w:p>
        </w:tc>
        <w:tc>
          <w:tcPr>
            <w:tcW w:type="dxa" w:w="1080"/>
          </w:tcPr>
          <w:p>
            <w:r>
              <w:rPr>
                <w:rFonts w:ascii="Calibri" w:hAnsi="Calibri"/>
                <w:sz w:val="22"/>
              </w:rPr>
              <w:t>$37.02</w:t>
            </w:r>
          </w:p>
        </w:tc>
        <w:tc>
          <w:tcPr>
            <w:tcW w:type="dxa" w:w="1080"/>
          </w:tcPr>
          <w:p>
            <w:r>
              <w:rPr>
                <w:rFonts w:ascii="Calibri" w:hAnsi="Calibri"/>
                <w:sz w:val="22"/>
              </w:rPr>
              <w:t>$36.97</w:t>
            </w:r>
          </w:p>
        </w:tc>
        <w:tc>
          <w:tcPr>
            <w:tcW w:type="dxa" w:w="1080"/>
          </w:tcPr>
          <w:p>
            <w:r>
              <w:rPr>
                <w:rFonts w:ascii="Calibri" w:hAnsi="Calibri"/>
                <w:sz w:val="22"/>
              </w:rPr>
              <w:t>-0.1%</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FY2027</w:t>
            </w:r>
          </w:p>
        </w:tc>
        <w:tc>
          <w:tcPr>
            <w:tcW w:type="dxa" w:w="1080"/>
          </w:tcPr>
          <w:p>
            <w:r>
              <w:rPr>
                <w:rFonts w:ascii="Calibri" w:hAnsi="Calibri"/>
                <w:sz w:val="22"/>
              </w:rPr>
              <w:t>$17,152M</w:t>
            </w:r>
          </w:p>
        </w:tc>
        <w:tc>
          <w:tcPr>
            <w:tcW w:type="dxa" w:w="1080"/>
          </w:tcPr>
          <w:p>
            <w:r>
              <w:rPr>
                <w:rFonts w:ascii="Calibri" w:hAnsi="Calibri"/>
                <w:sz w:val="22"/>
              </w:rPr>
              <w:t>$17,363M</w:t>
            </w:r>
          </w:p>
        </w:tc>
        <w:tc>
          <w:tcPr>
            <w:tcW w:type="dxa" w:w="1080"/>
          </w:tcPr>
          <w:p>
            <w:r>
              <w:rPr>
                <w:rFonts w:ascii="Calibri" w:hAnsi="Calibri"/>
                <w:sz w:val="22"/>
              </w:rPr>
              <w:t>+1.2%</w:t>
            </w:r>
          </w:p>
        </w:tc>
        <w:tc>
          <w:tcPr>
            <w:tcW w:type="dxa" w:w="1080"/>
          </w:tcPr>
          <w:p>
            <w:r>
              <w:rPr>
                <w:rFonts w:ascii="Calibri" w:hAnsi="Calibri"/>
                <w:sz w:val="22"/>
              </w:rPr>
              <w:t>N/A (directional: growth rate &gt; 2026)</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FY2027</w:t>
            </w:r>
          </w:p>
        </w:tc>
        <w:tc>
          <w:tcPr>
            <w:tcW w:type="dxa" w:w="1080"/>
          </w:tcPr>
          <w:p>
            <w:r>
              <w:rPr>
                <w:rFonts w:ascii="Calibri" w:hAnsi="Calibri"/>
                <w:sz w:val="22"/>
              </w:rPr>
              <w:t>$50.43</w:t>
            </w:r>
          </w:p>
        </w:tc>
        <w:tc>
          <w:tcPr>
            <w:tcW w:type="dxa" w:w="1080"/>
          </w:tcPr>
          <w:p>
            <w:r>
              <w:rPr>
                <w:rFonts w:ascii="Calibri" w:hAnsi="Calibri"/>
                <w:sz w:val="22"/>
              </w:rPr>
              <w:t>$49.42</w:t>
            </w:r>
          </w:p>
        </w:tc>
        <w:tc>
          <w:tcPr>
            <w:tcW w:type="dxa" w:w="1080"/>
          </w:tcPr>
          <w:p>
            <w:r>
              <w:rPr>
                <w:rFonts w:ascii="Calibri" w:hAnsi="Calibri"/>
                <w:sz w:val="22"/>
              </w:rPr>
              <w:t>-2.0%</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“Post-earnings baseline” is consensus as of May 6, 2026 (~5 trading days after April 29 earnings). Current consensus as of July 28, 2026. The near-zero revision in Q4 FY2026 estimates suggests the street is anchored to guidance; any beat on advanced packaging or gross margin could drive meaningful upward revisions post-print.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KLAC’s +12% return since the April 29 earnings date has lagged SOXX (+14.7%) and significantly outpaced SPY (+3.9%), but the stock’s dramatic spike to ~$302 on June 30 (indexed ~166) followed by a sharp ~33% pullback to ~$203 suggests the move was driven by a short-term sentiment surge rather than durable estimate revisions — the current price is actually below where it was in mid-June, creating a potentially attractive re-entry point ahead of the print.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KLAC vs. SOXX vs. S&amp;P 500 — Indexed to 100 at April 29, 2026 Earnings Date. Sector ETF: SOXX (iShares Semiconductor ETF). Source: Stock Price Data.</w:t>
      </w:r>
    </w:p>
    <w:p>
      <w:r>
        <w:rPr>
          <w:rFonts w:ascii="Calibri" w:hAnsi="Calibri"/>
          <w:color w:val="525866"/>
          <w:sz w:val="22"/>
        </w:rPr>
        <w:t>KLAC opened the post-earnings period roughly flat on April 29 (close: $181.62) and drifted lower through early May as the broader semis complex digested the US-China trade truce. The stock then rallied sharply through June, peaking at ~$301.71 on June 30 — a +66% move from the earnings date close — driven by a combination of bullish WFE commentary from peers (AMAT, LRCX, ASML) and KLA’s own CFO reiterating upside to the $140B+ WFE figure. Since June 30, KLAC has given back ~33% to ~$203, broadly in line with SOXX weakness, suggesting the pullback is sector-driven rather than company-specific. At current levels, the stock trades at a more reasonable multiple and is not obviously pricing in a beat, which sets up a favorable risk/reward into the print.</w:t>
      </w:r>
    </w:p>
    <w:p>
      <w:r>
        <w:br w:type="page"/>
      </w:r>
    </w:p>
    <w:p>
      <w:pPr>
        <w:pStyle w:val="Heading2"/>
      </w:pPr>
      <w:r>
        <w:rPr>
          <w:rFonts w:ascii="Calibri" w:hAnsi="Calibri"/>
          <w:b/>
          <w:color w:val="3B4259"/>
          <w:sz w:val="28"/>
        </w:rPr>
        <w:t>6. Peer Commentaries Read-Through</w:t>
      </w:r>
    </w:p>
    <w:p>
      <w:r>
        <w:rPr>
          <w:rFonts w:ascii="Calibri" w:hAnsi="Calibri"/>
          <w:b/>
          <w:color w:val="525866"/>
          <w:sz w:val="22"/>
        </w:rPr>
        <w:t xml:space="preserve">Key Takeaway: </w:t>
      </w:r>
      <w:r>
        <w:rPr>
          <w:rFonts w:ascii="Calibri" w:hAnsi="Calibri"/>
          <w:b/>
          <w:color w:val="525866"/>
          <w:sz w:val="22"/>
        </w:rPr>
        <w:t xml:space="preserve">Every major peer that has reported or presented since KLA’s April 29 earnings has confirmed and in many cases amplified the bullish WFE narrative — AMAT raised its systems growth guide to &gt;30%, ASML raised full-year guidance and is planning 30% EUV capacity increases for 2027, LRCX called 2027 “a pretty good growth year,” ONTO guided &gt;30% revenue growth for 2026, and Micron confirmed DRAM/NAND supply will remain tight beyond 2027. </w:t>
      </w:r>
      <w:r>
        <w:rPr>
          <w:rFonts w:ascii="Calibri" w:hAnsi="Calibri"/>
          <w:color w:val="525866"/>
          <w:sz w:val="22"/>
        </w:rPr>
        <w:t>These read-throughs are uniformly positive for KLA’s process control intensity thesis.</w:t>
      </w:r>
    </w:p>
    <w:p>
      <w:r>
        <w:rPr>
          <w:rFonts w:ascii="Calibri" w:hAnsi="Calibri"/>
          <w:i/>
          <w:color w:val="525866"/>
          <w:sz w:val="22"/>
        </w:rPr>
        <w:t>Note: Only commentary from the last 60 days (since approximately May 28, 2026) or commentary about the current reporting environment (Q4 FY2026 / CY2026 second half) is included below. Prior-quarter result discussions are excluded.</w:t>
      </w:r>
    </w:p>
    <w:p>
      <w:pPr>
        <w:pStyle w:val="Heading3"/>
      </w:pPr>
      <w:r>
        <w:rPr>
          <w:rFonts w:ascii="Calibri" w:hAnsi="Calibri"/>
          <w:b/>
          <w:color w:val="3B4259"/>
          <w:sz w:val="24"/>
        </w:rPr>
        <w:t>ASML — Q2 2026 Earnings Call (July 15, 2026)</w:t>
      </w:r>
    </w:p>
    <w:p>
      <w:pPr>
        <w:pStyle w:val="ListBullet"/>
        <w:ind w:left="360" w:hanging="360"/>
      </w:pPr>
      <w:r>
        <w:rPr>
          <w:rFonts w:ascii="Calibri" w:hAnsi="Calibri"/>
          <w:b/>
          <w:color w:val="525866"/>
          <w:sz w:val="22"/>
        </w:rPr>
        <w:t xml:space="preserve">WFE / Demand Environment: </w:t>
      </w:r>
      <w:r>
        <w:rPr>
          <w:rFonts w:ascii="Calibri" w:hAnsi="Calibri"/>
          <w:color w:val="525866"/>
          <w:sz w:val="22"/>
        </w:rPr>
        <w:t>ASML raised full-year 2026 revenue guidance to €43–45B and now expects EUV net system sales to grow &gt;45% YoY. Customers have “revised their capital expenditure plans upward for the year” and ASML has been able to meet requests for additional lithography systems. Backlog “continues to increase with a broad mix of customers for 2027.”</w:t>
      </w:r>
    </w:p>
    <w:p>
      <w:pPr>
        <w:pStyle w:val="ListBullet"/>
        <w:ind w:left="360" w:hanging="360"/>
      </w:pPr>
      <w:r>
        <w:rPr>
          <w:rFonts w:ascii="Calibri" w:hAnsi="Calibri"/>
          <w:b/>
          <w:color w:val="525866"/>
          <w:sz w:val="22"/>
        </w:rPr>
        <w:t xml:space="preserve">DRAM / HBM: </w:t>
      </w:r>
      <w:r>
        <w:rPr>
          <w:rFonts w:ascii="Calibri" w:hAnsi="Calibri"/>
          <w:color w:val="525866"/>
          <w:sz w:val="22"/>
        </w:rPr>
        <w:t>ASML expects memory-related net system sales to grow &gt;75% in 2026, driven by HBM and DDR capacity additions. “The supply challenges driving up both DDR and HBM prices have prompted significant investments in fab expansion.” Customers are “adding meaningful capacity this year, while at the same time they plan further capacity expansion, as indicated by the plans to build multiple mega fabs.” DRAM lithography intensity is rising as customers migrate to advanced nodes.</w:t>
      </w:r>
    </w:p>
    <w:p>
      <w:pPr>
        <w:pStyle w:val="ListBullet"/>
        <w:ind w:left="360" w:hanging="360"/>
      </w:pPr>
      <w:r>
        <w:rPr>
          <w:rFonts w:ascii="Calibri" w:hAnsi="Calibri"/>
          <w:b/>
          <w:color w:val="525866"/>
          <w:sz w:val="22"/>
        </w:rPr>
        <w:t xml:space="preserve">Foundry / Logic: </w:t>
      </w:r>
      <w:r>
        <w:rPr>
          <w:rFonts w:ascii="Calibri" w:hAnsi="Calibri"/>
          <w:color w:val="525866"/>
          <w:sz w:val="22"/>
        </w:rPr>
        <w:t>Advanced logic foundry net system sales expected to grow &gt;25% in 2026. 2nm node “continues to ramp rapidly” and customers are “already planning investments to support the development of the 1.4nm nodes.”</w:t>
      </w:r>
    </w:p>
    <w:p>
      <w:pPr>
        <w:pStyle w:val="ListBullet"/>
        <w:ind w:left="360" w:hanging="360"/>
      </w:pPr>
      <w:r>
        <w:rPr>
          <w:rFonts w:ascii="Calibri" w:hAnsi="Calibri"/>
          <w:b/>
          <w:color w:val="525866"/>
          <w:sz w:val="22"/>
        </w:rPr>
        <w:t xml:space="preserve">Process Control Read-Through: </w:t>
      </w:r>
      <w:r>
        <w:rPr>
          <w:rFonts w:ascii="Calibri" w:hAnsi="Calibri"/>
          <w:color w:val="525866"/>
          <w:sz w:val="22"/>
        </w:rPr>
        <w:t>“Greater process control intensity at advanced nodes has led to major traction when it comes to adoption of our optical and metrology products across all key customers.” This directly validates KLA’s process control intensity thesis.</w:t>
      </w:r>
    </w:p>
    <w:p>
      <w:pPr>
        <w:pStyle w:val="ListBullet"/>
        <w:ind w:left="360" w:hanging="360"/>
      </w:pPr>
      <w:r>
        <w:rPr>
          <w:rFonts w:ascii="Calibri" w:hAnsi="Calibri"/>
          <w:b/>
          <w:color w:val="525866"/>
          <w:sz w:val="22"/>
        </w:rPr>
        <w:t xml:space="preserve">2027 Outlook: </w:t>
      </w:r>
      <w:r>
        <w:rPr>
          <w:rFonts w:ascii="Calibri" w:hAnsi="Calibri"/>
          <w:color w:val="525866"/>
          <w:sz w:val="22"/>
        </w:rPr>
        <w:t>ASML is “close to being fully covered with orders for low-end EUV” for 2027 and is planning to increase low-EUV capacity by ~30%. Strong demand forecasts have led ASML to investigate a further 30% capacity increase for 2028. This unprecedented forward visibility is a strong read-through for KLA’s 2027 WFE acceleration thesis.</w:t>
      </w:r>
    </w:p>
    <w:p>
      <w:pPr>
        <w:pStyle w:val="Heading3"/>
      </w:pPr>
      <w:r>
        <w:rPr>
          <w:rFonts w:ascii="Calibri" w:hAnsi="Calibri"/>
          <w:b/>
          <w:color w:val="3B4259"/>
          <w:sz w:val="24"/>
        </w:rPr>
        <w:t>Applied Materials (AMAT) — Q2 FY2026 Earnings Call (May 14, 2026) &amp; Subsequent Conferences</w:t>
      </w:r>
    </w:p>
    <w:p>
      <w:pPr>
        <w:pStyle w:val="ListBullet"/>
        <w:ind w:left="360" w:hanging="360"/>
      </w:pPr>
      <w:r>
        <w:rPr>
          <w:rFonts w:ascii="Calibri" w:hAnsi="Calibri"/>
          <w:b/>
          <w:color w:val="525866"/>
          <w:sz w:val="22"/>
        </w:rPr>
        <w:t xml:space="preserve">WFE / Demand Environment: </w:t>
      </w:r>
      <w:r>
        <w:rPr>
          <w:rFonts w:ascii="Calibri" w:hAnsi="Calibri"/>
          <w:color w:val="525866"/>
          <w:sz w:val="22"/>
        </w:rPr>
        <w:t>AMAT raised its semiconductor equipment business growth guide to &gt;30% for CY2026 (from prior ~20%), implying a second-half equipment run rate of ~$14.5–15B. The company is tracking &gt;100 factory projects globally, with &gt;10 added in the last quarter. “Based on our latest discussions with them, we expect 2027 will be another strong record year for the industry.”</w:t>
      </w:r>
    </w:p>
    <w:p>
      <w:pPr>
        <w:pStyle w:val="ListBullet"/>
        <w:ind w:left="360" w:hanging="360"/>
      </w:pPr>
      <w:r>
        <w:rPr>
          <w:rFonts w:ascii="Calibri" w:hAnsi="Calibri"/>
          <w:b/>
          <w:color w:val="525866"/>
          <w:sz w:val="22"/>
        </w:rPr>
        <w:t xml:space="preserve">Process Control (PDC): </w:t>
      </w:r>
      <w:r>
        <w:rPr>
          <w:rFonts w:ascii="Calibri" w:hAnsi="Calibri"/>
          <w:color w:val="525866"/>
          <w:sz w:val="22"/>
        </w:rPr>
        <w:t>AMAT’s Process Diagnostics and Control (PDC) business is expected to be “one of the fastest-growing businesses” in CY2026, with optical inspection “on track for strong growth.” AMAT has “clear leadership in eBeam with Cold Field Emission technology” and expects PDC revenue to exceed $1B this year, growing to “multiple billions of dollars.” This validates the process control intensity theme that underpins KLA’s growth.</w:t>
      </w:r>
    </w:p>
    <w:p>
      <w:pPr>
        <w:pStyle w:val="ListBullet"/>
        <w:ind w:left="360" w:hanging="360"/>
      </w:pPr>
      <w:r>
        <w:rPr>
          <w:rFonts w:ascii="Calibri" w:hAnsi="Calibri"/>
          <w:b/>
          <w:color w:val="525866"/>
          <w:sz w:val="22"/>
        </w:rPr>
        <w:t xml:space="preserve">Advanced Packaging: </w:t>
      </w:r>
      <w:r>
        <w:rPr>
          <w:rFonts w:ascii="Calibri" w:hAnsi="Calibri"/>
          <w:color w:val="525866"/>
          <w:sz w:val="22"/>
        </w:rPr>
        <w:t>AMAT expects packaging revenues to grow &gt;50% in CY2026 to &gt;$2B. “Next year, we anticipate also a strong growth.” AMAT is the “overall leader in advanced packaging” with strong positions in HBM and 3D chiplet stacking. Broadcom joined AMAT’s EPIC platform specifically for advanced packaging. This is a direct positive read-through for KLA’s ~$1B advanced packaging revenue target.</w:t>
      </w:r>
    </w:p>
    <w:p>
      <w:pPr>
        <w:pStyle w:val="ListBullet"/>
        <w:ind w:left="360" w:hanging="360"/>
      </w:pPr>
      <w:r>
        <w:rPr>
          <w:rFonts w:ascii="Calibri" w:hAnsi="Calibri"/>
          <w:b/>
          <w:color w:val="525866"/>
          <w:sz w:val="22"/>
        </w:rPr>
        <w:t xml:space="preserve">DRAM / HBM: </w:t>
      </w:r>
      <w:r>
        <w:rPr>
          <w:rFonts w:ascii="Calibri" w:hAnsi="Calibri"/>
          <w:color w:val="525866"/>
          <w:sz w:val="22"/>
        </w:rPr>
        <w:t>AMAT’s DRAM revenues were $1.7B in the most recent quarter, up 18% YoY. “AI computing is driving incredibly strong demand” for DRAM, with customers “aggressively adding capacity at 6F² nodes.” AMAT expects to gain additional DRAM market share at upcoming transistor and device architecture inflections.</w:t>
      </w:r>
    </w:p>
    <w:p>
      <w:pPr>
        <w:pStyle w:val="ListBullet"/>
        <w:ind w:left="360" w:hanging="360"/>
      </w:pPr>
      <w:r>
        <w:rPr>
          <w:rFonts w:ascii="Calibri" w:hAnsi="Calibri"/>
          <w:b/>
          <w:color w:val="525866"/>
          <w:sz w:val="22"/>
        </w:rPr>
        <w:t xml:space="preserve">WFE Mix / 2027: </w:t>
      </w:r>
      <w:r>
        <w:rPr>
          <w:rFonts w:ascii="Calibri" w:hAnsi="Calibri"/>
          <w:color w:val="525866"/>
          <w:sz w:val="22"/>
        </w:rPr>
        <w:t>Leading-edge foundry logic, DRAM, and advanced packaging expected to account for &gt;80% of YoY WFE growth in both 2026 and 2027. “We think that profile continues going forward.” AMAT has “8-quarter forecasts from every one of our customers and longer commitments.”</w:t>
      </w:r>
    </w:p>
    <w:p>
      <w:pPr>
        <w:pStyle w:val="ListBullet"/>
        <w:ind w:left="360" w:hanging="360"/>
      </w:pPr>
      <w:r>
        <w:rPr>
          <w:rFonts w:ascii="Calibri" w:hAnsi="Calibri"/>
          <w:b/>
          <w:color w:val="525866"/>
          <w:sz w:val="22"/>
        </w:rPr>
        <w:t xml:space="preserve">DRAM &amp; Advanced Packaging Master Class (June 25, 2026): </w:t>
      </w:r>
      <w:r>
        <w:rPr>
          <w:rFonts w:ascii="Calibri" w:hAnsi="Calibri"/>
          <w:color w:val="525866"/>
          <w:sz w:val="22"/>
        </w:rPr>
        <w:t>AMAT disclosed that the WFE market composition is shifting — leading-edge foundry logic expected to drive &gt;50% of foundry logic WFE, and DRAM WFE spending expected to be “well over 2x NAND spending for the foreseeable future.” Advanced packaging is now “as strategic to the computing industry as on-chip scaling.” Process control intensity in packaging is rising sharply as hybrid bonding requires advanced e-beam inspection.</w:t>
      </w:r>
    </w:p>
    <w:p>
      <w:pPr>
        <w:pStyle w:val="Heading3"/>
      </w:pPr>
      <w:r>
        <w:rPr>
          <w:rFonts w:ascii="Calibri" w:hAnsi="Calibri"/>
          <w:b/>
          <w:color w:val="3B4259"/>
          <w:sz w:val="24"/>
        </w:rPr>
        <w:t>Lam Research (LRCX) — BofA Global Technology Conference (June 2, 2026) &amp; Bernstein Conference (May 27, 2026)</w:t>
      </w:r>
    </w:p>
    <w:p>
      <w:pPr>
        <w:pStyle w:val="ListBullet"/>
        <w:ind w:left="360" w:hanging="360"/>
      </w:pPr>
      <w:r>
        <w:rPr>
          <w:rFonts w:ascii="Calibri" w:hAnsi="Calibri"/>
          <w:b/>
          <w:color w:val="525866"/>
          <w:sz w:val="22"/>
        </w:rPr>
        <w:t xml:space="preserve">WFE Outlook: </w:t>
      </w:r>
      <w:r>
        <w:rPr>
          <w:rFonts w:ascii="Calibri" w:hAnsi="Calibri"/>
          <w:color w:val="525866"/>
          <w:sz w:val="22"/>
        </w:rPr>
        <w:t>LRCX CFO updated WFE to “$140B, perhaps with a bias to a little bit of upside” at the BofA conference. The industry is “constrained by clean room space availability” and is “undersupplied right now” — a dynamic that “bodes pretty well for what WFE is going to be next year because this is going to roll into next year as projects come more available into ’27.”</w:t>
      </w:r>
    </w:p>
    <w:p>
      <w:pPr>
        <w:pStyle w:val="ListBullet"/>
        <w:ind w:left="360" w:hanging="360"/>
      </w:pPr>
      <w:r>
        <w:rPr>
          <w:rFonts w:ascii="Calibri" w:hAnsi="Calibri"/>
          <w:b/>
          <w:color w:val="525866"/>
          <w:sz w:val="22"/>
        </w:rPr>
        <w:t xml:space="preserve">2027 Outlook: </w:t>
      </w:r>
      <w:r>
        <w:rPr>
          <w:rFonts w:ascii="Calibri" w:hAnsi="Calibri"/>
          <w:color w:val="525866"/>
          <w:sz w:val="22"/>
        </w:rPr>
        <w:t>LRCX CFO stated “I think ’27 is going to be a pretty good growth year” and “there is the potential for just fab equipment to grow faster in ’27 than in ’26.” The robustness of customer conversations about future demand is “as strong as I’ve ever seen it, frankly, in all the time I’ve been in the industry.”</w:t>
      </w:r>
    </w:p>
    <w:p>
      <w:pPr>
        <w:pStyle w:val="ListBullet"/>
        <w:ind w:left="360" w:hanging="360"/>
      </w:pPr>
      <w:r>
        <w:rPr>
          <w:rFonts w:ascii="Calibri" w:hAnsi="Calibri"/>
          <w:b/>
          <w:color w:val="525866"/>
          <w:sz w:val="22"/>
        </w:rPr>
        <w:t xml:space="preserve">Advanced Packaging: </w:t>
      </w:r>
      <w:r>
        <w:rPr>
          <w:rFonts w:ascii="Calibri" w:hAnsi="Calibri"/>
          <w:color w:val="525866"/>
          <w:sz w:val="22"/>
        </w:rPr>
        <w:t>LRCX’s advanced packaging business expected to “grow over 50% from our prior year” and is sized “around $2B.” Advanced packaging is described as “super tight.” LRCX recently opened a center of excellence for panel packaging in Austria.</w:t>
      </w:r>
    </w:p>
    <w:p>
      <w:pPr>
        <w:pStyle w:val="ListBullet"/>
        <w:ind w:left="360" w:hanging="360"/>
      </w:pPr>
      <w:r>
        <w:rPr>
          <w:rFonts w:ascii="Calibri" w:hAnsi="Calibri"/>
          <w:b/>
          <w:color w:val="525866"/>
          <w:sz w:val="22"/>
        </w:rPr>
        <w:t xml:space="preserve">DRAM / Memory: </w:t>
      </w:r>
      <w:r>
        <w:rPr>
          <w:rFonts w:ascii="Calibri" w:hAnsi="Calibri"/>
          <w:color w:val="525866"/>
          <w:sz w:val="22"/>
        </w:rPr>
        <w:t>DRAM is receiving priority investment due to its “highest profit opportunity.” NAND upgrade spending of ~$40B is expected to be “complete by end of 2027,” pulling in a cycle that was expected to take several years. “2027, even with the constraints in place, is going to be a year of compelling WFE growth.”</w:t>
      </w:r>
    </w:p>
    <w:p>
      <w:pPr>
        <w:pStyle w:val="ListBullet"/>
        <w:ind w:left="360" w:hanging="360"/>
      </w:pPr>
      <w:r>
        <w:rPr>
          <w:rFonts w:ascii="Calibri" w:hAnsi="Calibri"/>
          <w:b/>
          <w:color w:val="525866"/>
          <w:sz w:val="22"/>
        </w:rPr>
        <w:t xml:space="preserve">Process Control Read-Through: </w:t>
      </w:r>
      <w:r>
        <w:rPr>
          <w:rFonts w:ascii="Calibri" w:hAnsi="Calibri"/>
          <w:color w:val="525866"/>
          <w:sz w:val="22"/>
        </w:rPr>
        <w:t>LRCX’s Equipment Intelligence initiative (AI models on tool data) and cobots (Dextro) are being deployed in customer fabs, reflecting rising process control intensity across the industry. LRCX noted that “every time we come to that next checkpoint, there’s more than we thought there was” — consistent with KLA’s accelerating demand narrative.</w:t>
      </w:r>
    </w:p>
    <w:p>
      <w:pPr>
        <w:pStyle w:val="Heading3"/>
      </w:pPr>
      <w:r>
        <w:rPr>
          <w:rFonts w:ascii="Calibri" w:hAnsi="Calibri"/>
          <w:b/>
          <w:color w:val="3B4259"/>
          <w:sz w:val="24"/>
        </w:rPr>
        <w:t>Onto Innovation (ONTO) — Q1 2026 Earnings Call (May 5, 2026)</w:t>
      </w:r>
    </w:p>
    <w:p>
      <w:pPr>
        <w:pStyle w:val="ListBullet"/>
        <w:ind w:left="360" w:hanging="360"/>
      </w:pPr>
      <w:r>
        <w:rPr>
          <w:rFonts w:ascii="Calibri" w:hAnsi="Calibri"/>
          <w:b/>
          <w:color w:val="525866"/>
          <w:sz w:val="22"/>
        </w:rPr>
        <w:t xml:space="preserve">Direct Process Control Read-Through: </w:t>
      </w:r>
      <w:r>
        <w:rPr>
          <w:rFonts w:ascii="Calibri" w:hAnsi="Calibri"/>
          <w:color w:val="525866"/>
          <w:sz w:val="22"/>
        </w:rPr>
        <w:t>ONTO is the most direct process control peer to KLA. ONTO guided Q2 2026 revenue of $320–330M (+28% YoY at midpoint) and expects &gt;30% revenue growth for full-year 2026, “ahead of average WFE growth expectations in the low 20s.” This is a strong positive read-through for KLA’s &gt;20% SPC systems growth target.</w:t>
      </w:r>
    </w:p>
    <w:p>
      <w:pPr>
        <w:pStyle w:val="ListBullet"/>
        <w:ind w:left="360" w:hanging="360"/>
      </w:pPr>
      <w:r>
        <w:rPr>
          <w:rFonts w:ascii="Calibri" w:hAnsi="Calibri"/>
          <w:b/>
          <w:color w:val="525866"/>
          <w:sz w:val="22"/>
        </w:rPr>
        <w:t xml:space="preserve">Advanced Packaging: </w:t>
      </w:r>
      <w:r>
        <w:rPr>
          <w:rFonts w:ascii="Calibri" w:hAnsi="Calibri"/>
          <w:color w:val="525866"/>
          <w:sz w:val="22"/>
        </w:rPr>
        <w:t>ONTO expects advanced packaging revenue to grow &gt;50% in 2026. The Dragonfly G5 inspection system achieved qualification at a leading 2.5D logic customer and has a pipeline of &gt;15 distinct applications across &gt;10 customers. Bumps are now below 6 microns (vs. 15–25 microns two years ago), driving demand for more advanced inspection — directly benefiting KLA’s advanced packaging portfolio.</w:t>
      </w:r>
    </w:p>
    <w:p>
      <w:pPr>
        <w:pStyle w:val="ListBullet"/>
        <w:ind w:left="360" w:hanging="360"/>
      </w:pPr>
      <w:r>
        <w:rPr>
          <w:rFonts w:ascii="Calibri" w:hAnsi="Calibri"/>
          <w:b/>
          <w:color w:val="525866"/>
          <w:sz w:val="22"/>
        </w:rPr>
        <w:t xml:space="preserve">2027 Outlook: </w:t>
      </w:r>
      <w:r>
        <w:rPr>
          <w:rFonts w:ascii="Calibri" w:hAnsi="Calibri"/>
          <w:color w:val="525866"/>
          <w:sz w:val="22"/>
        </w:rPr>
        <w:t>“’27 continues to look much stronger even than ’26.” ONTO expects to outgrow WFE in 2027 as well. JetStep (panel-level packaging) qualified at two packaging suppliers with ramp-up expectations in 2027.</w:t>
      </w:r>
    </w:p>
    <w:p>
      <w:pPr>
        <w:pStyle w:val="ListBullet"/>
        <w:ind w:left="360" w:hanging="360"/>
      </w:pPr>
      <w:r>
        <w:rPr>
          <w:rFonts w:ascii="Calibri" w:hAnsi="Calibri"/>
          <w:b/>
          <w:color w:val="525866"/>
          <w:sz w:val="22"/>
        </w:rPr>
        <w:t xml:space="preserve">Demand Dynamics: </w:t>
      </w:r>
      <w:r>
        <w:rPr>
          <w:rFonts w:ascii="Calibri" w:hAnsi="Calibri"/>
          <w:color w:val="525866"/>
          <w:sz w:val="22"/>
        </w:rPr>
        <w:t>ONTO is seeing “broad-based pull-ins of orders” driven by new fabs coming online and share gains, “not at the expense of 2027 numbers” — a “broader rising of the tide.” Record backlog and strengthening visibility.</w:t>
      </w:r>
    </w:p>
    <w:p>
      <w:pPr>
        <w:pStyle w:val="Heading3"/>
      </w:pPr>
      <w:r>
        <w:rPr>
          <w:rFonts w:ascii="Calibri" w:hAnsi="Calibri"/>
          <w:b/>
          <w:color w:val="3B4259"/>
          <w:sz w:val="24"/>
        </w:rPr>
        <w:t>Micron Technology (MU) — Q3 FY2026 Earnings Call (June 24, 2026)</w:t>
      </w:r>
    </w:p>
    <w:p>
      <w:pPr>
        <w:pStyle w:val="ListBullet"/>
        <w:ind w:left="360" w:hanging="360"/>
      </w:pPr>
      <w:r>
        <w:rPr>
          <w:rFonts w:ascii="Calibri" w:hAnsi="Calibri"/>
          <w:b/>
          <w:color w:val="525866"/>
          <w:sz w:val="22"/>
        </w:rPr>
        <w:t xml:space="preserve">DRAM / HBM Supply Tightness: </w:t>
      </w:r>
      <w:r>
        <w:rPr>
          <w:rFonts w:ascii="Calibri" w:hAnsi="Calibri"/>
          <w:color w:val="525866"/>
          <w:sz w:val="22"/>
        </w:rPr>
        <w:t>Micron now expects “supply demand conditions for both DRAM and NAND to remain tight beyond calendar 2027.” HBM4 12-high volume ramp is tracking “twice as fast as HBM3E 12-high” and Micron has already shipped &gt;$1B in HBM4 revenue. This sustained tightness is a direct positive for KLA’s process control intensity thesis — tight supply incentivizes yield investment.</w:t>
      </w:r>
    </w:p>
    <w:p>
      <w:pPr>
        <w:pStyle w:val="ListBullet"/>
        <w:ind w:left="360" w:hanging="360"/>
      </w:pPr>
      <w:r>
        <w:rPr>
          <w:rFonts w:ascii="Calibri" w:hAnsi="Calibri"/>
          <w:b/>
          <w:color w:val="525866"/>
          <w:sz w:val="22"/>
        </w:rPr>
        <w:t xml:space="preserve">Greenfield Fab Expansion: </w:t>
      </w:r>
      <w:r>
        <w:rPr>
          <w:rFonts w:ascii="Calibri" w:hAnsi="Calibri"/>
          <w:color w:val="525866"/>
          <w:sz w:val="22"/>
        </w:rPr>
        <w:t>Micron has ID1 and ID2 fabs under construction in Idaho, broke ground on its New York fab cluster in January 2026, and acquired the Tongluo site in Taiwan (meaningful shipments expected mid-2027, a quarter ahead of prior expectations). Singapore site to become “another center of excellence for advanced packaging” contributing to HBM packaging capacity in H1 2027. Each greenfield fab is a direct KLA revenue opportunity.</w:t>
      </w:r>
    </w:p>
    <w:p>
      <w:pPr>
        <w:pStyle w:val="ListBullet"/>
        <w:ind w:left="360" w:hanging="360"/>
      </w:pPr>
      <w:r>
        <w:rPr>
          <w:rFonts w:ascii="Calibri" w:hAnsi="Calibri"/>
          <w:b/>
          <w:color w:val="525866"/>
          <w:sz w:val="22"/>
        </w:rPr>
        <w:t xml:space="preserve">Equipment Demand: </w:t>
      </w:r>
      <w:r>
        <w:rPr>
          <w:rFonts w:ascii="Calibri" w:hAnsi="Calibri"/>
          <w:color w:val="525866"/>
          <w:sz w:val="22"/>
        </w:rPr>
        <w:t>Micron concluded a multi-year supply agreement with ASML supporting increased EUV adoption at the 1-delta node and future generations. Micron is “collaborating with suppliers to accelerate tool acquisition, fab tool installation and ramp.” Rising process complexity (“memory process technology is getting more complex with every new node”) directly drives process control intensity.</w:t>
      </w:r>
    </w:p>
    <w:p>
      <w:pPr>
        <w:pStyle w:val="ListBullet"/>
        <w:ind w:left="360" w:hanging="360"/>
      </w:pPr>
      <w:r>
        <w:rPr>
          <w:rFonts w:ascii="Calibri" w:hAnsi="Calibri"/>
          <w:b/>
          <w:color w:val="525866"/>
          <w:sz w:val="22"/>
        </w:rPr>
        <w:t xml:space="preserve">DRAM Bit Growth: </w:t>
      </w:r>
      <w:r>
        <w:rPr>
          <w:rFonts w:ascii="Calibri" w:hAnsi="Calibri"/>
          <w:color w:val="525866"/>
          <w:sz w:val="22"/>
        </w:rPr>
        <w:t>Industry DRAM bit shipments in CY2026 expected to grow in the “low to mid-20s percentage range.” DRAM cost per bit is projected to “rise from current levels” due to technology transitions and greenfield ramps — a dynamic that supports continued investment in yield management tools.</w:t>
      </w:r>
    </w:p>
    <w:p>
      <w:pPr>
        <w:pStyle w:val="Heading3"/>
      </w:pPr>
      <w:r>
        <w:rPr>
          <w:rFonts w:ascii="Calibri" w:hAnsi="Calibri"/>
          <w:b/>
          <w:color w:val="3B4259"/>
          <w:sz w:val="24"/>
        </w:rPr>
        <w:t>TSMC — Q2 2026 Earnings Call (July 16, 2026)</w:t>
      </w:r>
    </w:p>
    <w:p>
      <w:pPr>
        <w:pStyle w:val="ListBullet"/>
        <w:ind w:left="360" w:hanging="360"/>
      </w:pPr>
      <w:r>
        <w:rPr>
          <w:rFonts w:ascii="Calibri" w:hAnsi="Calibri"/>
          <w:b/>
          <w:color w:val="525866"/>
          <w:sz w:val="22"/>
        </w:rPr>
        <w:t xml:space="preserve">CapEx Acceleration: </w:t>
      </w:r>
      <w:r>
        <w:rPr>
          <w:rFonts w:ascii="Calibri" w:hAnsi="Calibri"/>
          <w:color w:val="525866"/>
          <w:sz w:val="22"/>
        </w:rPr>
        <w:t>TSMC raised its full-year 2026 capital budget to $60–64B (from prior guidance), driven by “strong structural demand from customers, including the newly emerging Agentic AI market.” ~70–80% allocated to advanced process technologies, 10–20% to advanced packaging. CapEx in the next three years will be “even more significantly higher” than the past three years. This is a direct positive for KLA’s revenue pipeline.</w:t>
      </w:r>
    </w:p>
    <w:p>
      <w:pPr>
        <w:pStyle w:val="ListBullet"/>
        <w:ind w:left="360" w:hanging="360"/>
      </w:pPr>
      <w:r>
        <w:rPr>
          <w:rFonts w:ascii="Calibri" w:hAnsi="Calibri"/>
          <w:b/>
          <w:color w:val="525866"/>
          <w:sz w:val="22"/>
        </w:rPr>
        <w:t xml:space="preserve">Advanced Packaging Tightness: </w:t>
      </w:r>
      <w:r>
        <w:rPr>
          <w:rFonts w:ascii="Calibri" w:hAnsi="Calibri"/>
          <w:color w:val="525866"/>
          <w:sz w:val="22"/>
        </w:rPr>
        <w:t>TSMC’s packaging capacity is “so tight that now it is limited by customer growth.” TSMC is building 13 leading-edge and advanced packaging fabs in Taiwan over the next several years and announced an additional $100B investment in Arizona including advanced packaging fabs. This capacity buildout is a multi-year KLA revenue driver.</w:t>
      </w:r>
    </w:p>
    <w:p>
      <w:pPr>
        <w:pStyle w:val="ListBullet"/>
        <w:ind w:left="360" w:hanging="360"/>
      </w:pPr>
      <w:r>
        <w:rPr>
          <w:rFonts w:ascii="Calibri" w:hAnsi="Calibri"/>
          <w:b/>
          <w:color w:val="525866"/>
          <w:sz w:val="22"/>
        </w:rPr>
        <w:t xml:space="preserve">Foundry Logic Demand: </w:t>
      </w:r>
      <w:r>
        <w:rPr>
          <w:rFonts w:ascii="Calibri" w:hAnsi="Calibri"/>
          <w:color w:val="525866"/>
          <w:sz w:val="22"/>
        </w:rPr>
        <w:t>2nm node “continues to ramp rapidly” and customers are “already planning investments to support the development of the 1.4nm nodes.” A14 technology pre-production starts in 2027, volume production in 2028. Demand in excess of supply for 3nm and below is described as a “very big gap.”</w:t>
      </w:r>
    </w:p>
    <w:p>
      <w:pPr>
        <w:pStyle w:val="ListBullet"/>
        <w:ind w:left="360" w:hanging="360"/>
      </w:pPr>
      <w:r>
        <w:rPr>
          <w:rFonts w:ascii="Calibri" w:hAnsi="Calibri"/>
          <w:b/>
          <w:color w:val="525866"/>
          <w:sz w:val="22"/>
        </w:rPr>
        <w:t xml:space="preserve">2027 Visibility: </w:t>
      </w:r>
      <w:r>
        <w:rPr>
          <w:rFonts w:ascii="Calibri" w:hAnsi="Calibri"/>
          <w:color w:val="525866"/>
          <w:sz w:val="22"/>
        </w:rPr>
        <w:t>TSMC collaborates with tool suppliers “well in advance to prepare capacity” and does not foresee “any bottlenecks to our capacity expansion plans.” The Agentic AI market is driving a resurgence in CPU demand, adding incremental silicon demand beyond AI accelerators.</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 Date</w:t>
            </w:r>
          </w:p>
        </w:tc>
        <w:tc>
          <w:tcPr>
            <w:tcW w:type="dxa" w:w="2160"/>
            <w:shd w:val="clear" w:color="auto" w:fill="3B4259"/>
          </w:tcPr>
          <w:p>
            <w:r>
              <w:rPr>
                <w:rFonts w:ascii="Calibri" w:hAnsi="Calibri"/>
                <w:b/>
                <w:color w:val="FFFFFF"/>
                <w:sz w:val="22"/>
              </w:rPr>
              <w:t>Key Read-Through for KLAC</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ASML</w:t>
            </w:r>
          </w:p>
        </w:tc>
        <w:tc>
          <w:tcPr>
            <w:tcW w:type="dxa" w:w="2160"/>
          </w:tcPr>
          <w:p>
            <w:r>
              <w:rPr>
                <w:rFonts w:ascii="Calibri" w:hAnsi="Calibri"/>
                <w:sz w:val="22"/>
              </w:rPr>
              <w:t>July 15, 2026</w:t>
            </w:r>
          </w:p>
        </w:tc>
        <w:tc>
          <w:tcPr>
            <w:tcW w:type="dxa" w:w="2160"/>
          </w:tcPr>
          <w:p>
            <w:r>
              <w:rPr>
                <w:rFonts w:ascii="Calibri" w:hAnsi="Calibri"/>
                <w:sz w:val="22"/>
              </w:rPr>
              <w:t>Raised FY2026 guidance; memory systems +75% YoY; 2027 EUV capacity +30%; process control intensity rising at advanced nodes</w:t>
            </w:r>
          </w:p>
        </w:tc>
        <w:tc>
          <w:tcPr>
            <w:tcW w:type="dxa" w:w="2160"/>
          </w:tcPr>
          <w:p>
            <w:r>
              <w:rPr>
                <w:rFonts w:ascii="Calibri" w:hAnsi="Calibri"/>
                <w:b/>
                <w:color w:val="30A46C"/>
                <w:sz w:val="22"/>
              </w:rPr>
              <w:t>Positive</w:t>
            </w:r>
          </w:p>
        </w:tc>
      </w:tr>
      <w:tr>
        <w:tc>
          <w:tcPr>
            <w:tcW w:type="dxa" w:w="2160"/>
          </w:tcPr>
          <w:p>
            <w:r>
              <w:rPr>
                <w:rFonts w:ascii="Calibri" w:hAnsi="Calibri"/>
                <w:sz w:val="22"/>
              </w:rPr>
              <w:t>TSMC</w:t>
            </w:r>
          </w:p>
        </w:tc>
        <w:tc>
          <w:tcPr>
            <w:tcW w:type="dxa" w:w="2160"/>
          </w:tcPr>
          <w:p>
            <w:r>
              <w:rPr>
                <w:rFonts w:ascii="Calibri" w:hAnsi="Calibri"/>
                <w:sz w:val="22"/>
              </w:rPr>
              <w:t>July 16, 2026</w:t>
            </w:r>
          </w:p>
        </w:tc>
        <w:tc>
          <w:tcPr>
            <w:tcW w:type="dxa" w:w="2160"/>
          </w:tcPr>
          <w:p>
            <w:r>
              <w:rPr>
                <w:rFonts w:ascii="Calibri" w:hAnsi="Calibri"/>
                <w:sz w:val="22"/>
              </w:rPr>
              <w:t>CapEx raised to $60–64B; packaging capacity “so tight limited by customer growth”; 13 new fabs in Taiwan; $100B Arizona investment</w:t>
            </w:r>
          </w:p>
        </w:tc>
        <w:tc>
          <w:tcPr>
            <w:tcW w:type="dxa" w:w="2160"/>
          </w:tcPr>
          <w:p>
            <w:r>
              <w:rPr>
                <w:rFonts w:ascii="Calibri" w:hAnsi="Calibri"/>
                <w:b/>
                <w:color w:val="30A46C"/>
                <w:sz w:val="22"/>
              </w:rPr>
              <w:t>Positive</w:t>
            </w:r>
          </w:p>
        </w:tc>
      </w:tr>
      <w:tr>
        <w:tc>
          <w:tcPr>
            <w:tcW w:type="dxa" w:w="2160"/>
          </w:tcPr>
          <w:p>
            <w:r>
              <w:rPr>
                <w:rFonts w:ascii="Calibri" w:hAnsi="Calibri"/>
                <w:sz w:val="22"/>
              </w:rPr>
              <w:t>AMAT</w:t>
            </w:r>
          </w:p>
        </w:tc>
        <w:tc>
          <w:tcPr>
            <w:tcW w:type="dxa" w:w="2160"/>
          </w:tcPr>
          <w:p>
            <w:r>
              <w:rPr>
                <w:rFonts w:ascii="Calibri" w:hAnsi="Calibri"/>
                <w:sz w:val="22"/>
              </w:rPr>
              <w:t>May 14 / May 20 / May 28 / June 25, 2026</w:t>
            </w:r>
          </w:p>
        </w:tc>
        <w:tc>
          <w:tcPr>
            <w:tcW w:type="dxa" w:w="2160"/>
          </w:tcPr>
          <w:p>
            <w:r>
              <w:rPr>
                <w:rFonts w:ascii="Calibri" w:hAnsi="Calibri"/>
                <w:sz w:val="22"/>
              </w:rPr>
              <w:t>Systems growth guide raised to &gt;30%; packaging &gt;50% growth; PDC fastest-growing segment; 2027 “another strong record year”</w:t>
            </w:r>
          </w:p>
        </w:tc>
        <w:tc>
          <w:tcPr>
            <w:tcW w:type="dxa" w:w="2160"/>
          </w:tcPr>
          <w:p>
            <w:r>
              <w:rPr>
                <w:rFonts w:ascii="Calibri" w:hAnsi="Calibri"/>
                <w:b/>
                <w:color w:val="30A46C"/>
                <w:sz w:val="22"/>
              </w:rPr>
              <w:t>Positive</w:t>
            </w:r>
          </w:p>
        </w:tc>
      </w:tr>
      <w:tr>
        <w:tc>
          <w:tcPr>
            <w:tcW w:type="dxa" w:w="2160"/>
          </w:tcPr>
          <w:p>
            <w:r>
              <w:rPr>
                <w:rFonts w:ascii="Calibri" w:hAnsi="Calibri"/>
                <w:sz w:val="22"/>
              </w:rPr>
              <w:t>LRCX</w:t>
            </w:r>
          </w:p>
        </w:tc>
        <w:tc>
          <w:tcPr>
            <w:tcW w:type="dxa" w:w="2160"/>
          </w:tcPr>
          <w:p>
            <w:r>
              <w:rPr>
                <w:rFonts w:ascii="Calibri" w:hAnsi="Calibri"/>
                <w:sz w:val="22"/>
              </w:rPr>
              <w:t>May 27 / June 2, 2026</w:t>
            </w:r>
          </w:p>
        </w:tc>
        <w:tc>
          <w:tcPr>
            <w:tcW w:type="dxa" w:w="2160"/>
          </w:tcPr>
          <w:p>
            <w:r>
              <w:rPr>
                <w:rFonts w:ascii="Calibri" w:hAnsi="Calibri"/>
                <w:sz w:val="22"/>
              </w:rPr>
              <w:t>WFE $140B+ with upside bias; 2027 “pretty good growth year”; advanced packaging ~$2B growing &gt;50%; industry undersupplied</w:t>
            </w:r>
          </w:p>
        </w:tc>
        <w:tc>
          <w:tcPr>
            <w:tcW w:type="dxa" w:w="2160"/>
          </w:tcPr>
          <w:p>
            <w:r>
              <w:rPr>
                <w:rFonts w:ascii="Calibri" w:hAnsi="Calibri"/>
                <w:b/>
                <w:color w:val="30A46C"/>
                <w:sz w:val="22"/>
              </w:rPr>
              <w:t>Positive</w:t>
            </w:r>
          </w:p>
        </w:tc>
      </w:tr>
      <w:tr>
        <w:tc>
          <w:tcPr>
            <w:tcW w:type="dxa" w:w="2160"/>
          </w:tcPr>
          <w:p>
            <w:r>
              <w:rPr>
                <w:rFonts w:ascii="Calibri" w:hAnsi="Calibri"/>
                <w:sz w:val="22"/>
              </w:rPr>
              <w:t>ONTO</w:t>
            </w:r>
          </w:p>
        </w:tc>
        <w:tc>
          <w:tcPr>
            <w:tcW w:type="dxa" w:w="2160"/>
          </w:tcPr>
          <w:p>
            <w:r>
              <w:rPr>
                <w:rFonts w:ascii="Calibri" w:hAnsi="Calibri"/>
                <w:sz w:val="22"/>
              </w:rPr>
              <w:t>May 5, 2026</w:t>
            </w:r>
          </w:p>
        </w:tc>
        <w:tc>
          <w:tcPr>
            <w:tcW w:type="dxa" w:w="2160"/>
          </w:tcPr>
          <w:p>
            <w:r>
              <w:rPr>
                <w:rFonts w:ascii="Calibri" w:hAnsi="Calibri"/>
                <w:sz w:val="22"/>
              </w:rPr>
              <w:t>Process control peer guiding &gt;30% revenue growth in 2026; advanced packaging &gt;50%; 2027 “much stronger than ’26”</w:t>
            </w:r>
          </w:p>
        </w:tc>
        <w:tc>
          <w:tcPr>
            <w:tcW w:type="dxa" w:w="2160"/>
          </w:tcPr>
          <w:p>
            <w:r>
              <w:rPr>
                <w:rFonts w:ascii="Calibri" w:hAnsi="Calibri"/>
                <w:b/>
                <w:color w:val="30A46C"/>
                <w:sz w:val="22"/>
              </w:rPr>
              <w:t>Positive</w:t>
            </w:r>
          </w:p>
        </w:tc>
      </w:tr>
      <w:tr>
        <w:tc>
          <w:tcPr>
            <w:tcW w:type="dxa" w:w="2160"/>
          </w:tcPr>
          <w:p>
            <w:r>
              <w:rPr>
                <w:rFonts w:ascii="Calibri" w:hAnsi="Calibri"/>
                <w:sz w:val="22"/>
              </w:rPr>
              <w:t>MU</w:t>
            </w:r>
          </w:p>
        </w:tc>
        <w:tc>
          <w:tcPr>
            <w:tcW w:type="dxa" w:w="2160"/>
          </w:tcPr>
          <w:p>
            <w:r>
              <w:rPr>
                <w:rFonts w:ascii="Calibri" w:hAnsi="Calibri"/>
                <w:sz w:val="22"/>
              </w:rPr>
              <w:t>June 24, 2026</w:t>
            </w:r>
          </w:p>
        </w:tc>
        <w:tc>
          <w:tcPr>
            <w:tcW w:type="dxa" w:w="2160"/>
          </w:tcPr>
          <w:p>
            <w:r>
              <w:rPr>
                <w:rFonts w:ascii="Calibri" w:hAnsi="Calibri"/>
                <w:sz w:val="22"/>
              </w:rPr>
              <w:t>DRAM/NAND supply tight beyond 2027; multiple greenfield fabs under construction; HBM4 ramp 2x faster than HBM3E</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April 29 earnings is the CFO’s June BofA commentary pointing to ~20% WFE growth in 2026 and reiterating 2027 acceleration — a meaningful positive tone shift that, combined with TSMC’s $100B Arizona investment and ASML’s raised guidance, reinforces the multi-year demand visibility underpinning KLA’s growth story.</w:t>
      </w:r>
    </w:p>
    <w:p>
      <w:pPr>
        <w:pStyle w:val="ListBullet"/>
        <w:ind w:left="360" w:hanging="360"/>
      </w:pPr>
      <w:r>
        <w:rPr>
          <w:rFonts w:ascii="Calibri" w:hAnsi="Calibri"/>
          <w:b/>
          <w:color w:val="525866"/>
          <w:sz w:val="22"/>
        </w:rPr>
        <w:t xml:space="preserve">June 2026 — KLA CFO at BofA Global Technology Conference: </w:t>
      </w:r>
      <w:r>
        <w:rPr>
          <w:rFonts w:ascii="Calibri" w:hAnsi="Calibri"/>
          <w:color w:val="525866"/>
          <w:sz w:val="22"/>
        </w:rPr>
        <w:t xml:space="preserve">CFO indicated 2026 WFE growth could approach ~20% (vs. prior “exceeds $140B” framing), reiterated that 2027 sets up as an additional very strong year with broad-based participation across foundry/logic, DRAM, and incremental NAND expansion. Also noted advanced packaging WFE market expected to reach ~$13B in 2026 (&gt;30% growth from 2025) and KLA’s share could reach mid-7% or higher. </w:t>
      </w:r>
      <w:r>
        <w:rPr>
          <w:rFonts w:ascii="Calibri" w:hAnsi="Calibri"/>
          <w:color w:val="525866"/>
          <w:sz w:val="22"/>
        </w:rPr>
        <w:t>Implication: Positive tone shift above initial guidance framing; sets a higher bar for 2027 expectations.</w:t>
      </w:r>
    </w:p>
    <w:p>
      <w:pPr>
        <w:pStyle w:val="ListBullet"/>
        <w:ind w:left="360" w:hanging="360"/>
      </w:pPr>
      <w:r>
        <w:rPr>
          <w:rFonts w:ascii="Calibri" w:hAnsi="Calibri"/>
          <w:b/>
          <w:color w:val="525866"/>
          <w:sz w:val="22"/>
        </w:rPr>
        <w:t xml:space="preserve">July 16, 2026 — TSMC Q2 2026 Earnings: </w:t>
      </w:r>
      <w:r>
        <w:rPr>
          <w:rFonts w:ascii="Calibri" w:hAnsi="Calibri"/>
          <w:color w:val="525866"/>
          <w:sz w:val="22"/>
        </w:rPr>
        <w:t xml:space="preserve">TSMC raised 2026 CapEx to $60–64B and announced an additional $100B investment in Arizona for 2nm+ fabs and advanced packaging. Packaging capacity described as “so tight it is limited by customer growth.” 13 new leading-edge and advanced packaging fabs being built in Taiwan. </w:t>
      </w:r>
      <w:r>
        <w:rPr>
          <w:rFonts w:ascii="Calibri" w:hAnsi="Calibri"/>
          <w:color w:val="525866"/>
          <w:sz w:val="22"/>
        </w:rPr>
        <w:t>Implication: Direct multi-year revenue pipeline for KLA; advanced packaging tightness validates ~$1B 2026 target.</w:t>
      </w:r>
    </w:p>
    <w:p>
      <w:pPr>
        <w:pStyle w:val="ListBullet"/>
        <w:ind w:left="360" w:hanging="360"/>
      </w:pPr>
      <w:r>
        <w:rPr>
          <w:rFonts w:ascii="Calibri" w:hAnsi="Calibri"/>
          <w:b/>
          <w:color w:val="525866"/>
          <w:sz w:val="22"/>
        </w:rPr>
        <w:t xml:space="preserve">July 15, 2026 — ASML Q2 2026 Earnings: </w:t>
      </w:r>
      <w:r>
        <w:rPr>
          <w:rFonts w:ascii="Calibri" w:hAnsi="Calibri"/>
          <w:color w:val="525866"/>
          <w:sz w:val="22"/>
        </w:rPr>
        <w:t xml:space="preserve">ASML raised full-year 2026 revenue guidance to €43–45B, expects memory systems sales to grow &gt;75% YoY, and is planning 30% EUV capacity increases for 2027. Backlog “continues to increase with a broad mix of customers for 2027.” Process control intensity at advanced nodes driving “major traction” in optical and metrology products. </w:t>
      </w:r>
      <w:r>
        <w:rPr>
          <w:rFonts w:ascii="Calibri" w:hAnsi="Calibri"/>
          <w:color w:val="525866"/>
          <w:sz w:val="22"/>
        </w:rPr>
        <w:t>Implication: Strongest external validation of KLA’s 2027 WFE acceleration thesis.</w:t>
      </w:r>
    </w:p>
    <w:p>
      <w:pPr>
        <w:pStyle w:val="ListBullet"/>
        <w:ind w:left="360" w:hanging="360"/>
      </w:pPr>
      <w:r>
        <w:rPr>
          <w:rFonts w:ascii="Calibri" w:hAnsi="Calibri"/>
          <w:b/>
          <w:color w:val="525866"/>
          <w:sz w:val="22"/>
        </w:rPr>
        <w:t xml:space="preserve">May 14, 2026 — AMAT Q2 FY2026 Earnings: </w:t>
      </w:r>
      <w:r>
        <w:rPr>
          <w:rFonts w:ascii="Calibri" w:hAnsi="Calibri"/>
          <w:color w:val="525866"/>
          <w:sz w:val="22"/>
        </w:rPr>
        <w:t xml:space="preserve">AMAT raised semiconductor equipment business growth guide to &gt;30% for CY2026 (from ~20%), tracking &gt;100 factory projects globally. PDC (process control) expected to be one of the fastest-growing businesses. Broadcom joined AMAT’s EPIC platform for advanced packaging. </w:t>
      </w:r>
      <w:r>
        <w:rPr>
          <w:rFonts w:ascii="Calibri" w:hAnsi="Calibri"/>
          <w:color w:val="525866"/>
          <w:sz w:val="22"/>
        </w:rPr>
        <w:t>Implication: Peer confirmation of accelerating WFE and process control intensity; advanced packaging demand broad-based.</w:t>
      </w:r>
    </w:p>
    <w:p>
      <w:pPr>
        <w:pStyle w:val="ListBullet"/>
        <w:ind w:left="360" w:hanging="360"/>
      </w:pPr>
      <w:r>
        <w:rPr>
          <w:rFonts w:ascii="Calibri" w:hAnsi="Calibri"/>
          <w:b/>
          <w:color w:val="525866"/>
          <w:sz w:val="22"/>
        </w:rPr>
        <w:t xml:space="preserve">June 24, 2026 — Micron Q3 FY2026 Earnings: </w:t>
      </w:r>
      <w:r>
        <w:rPr>
          <w:rFonts w:ascii="Calibri" w:hAnsi="Calibri"/>
          <w:color w:val="525866"/>
          <w:sz w:val="22"/>
        </w:rPr>
        <w:t xml:space="preserve">Micron now expects DRAM/NAND supply to remain tight beyond CY2027. HBM4 ramp tracking 2x faster than HBM3E. Multiple greenfield fabs under construction globally. Concluded multi-year ASML supply agreement for EUV at 1-delta node. </w:t>
      </w:r>
      <w:r>
        <w:rPr>
          <w:rFonts w:ascii="Calibri" w:hAnsi="Calibri"/>
          <w:color w:val="525866"/>
          <w:sz w:val="22"/>
        </w:rPr>
        <w:t>Implication: Sustained memory investment cycle is a multi-year tailwind for KLA’s DRAM/HBM process control business.</w:t>
      </w:r>
    </w:p>
    <w:p>
      <w:pPr>
        <w:pStyle w:val="ListBullet"/>
        <w:ind w:left="360" w:hanging="360"/>
      </w:pPr>
      <w:r>
        <w:rPr>
          <w:rFonts w:ascii="Calibri" w:hAnsi="Calibri"/>
          <w:b/>
          <w:color w:val="525866"/>
          <w:sz w:val="22"/>
        </w:rPr>
        <w:t xml:space="preserve">April 29, 2026 — KLA Q3 FY2026 Earnings (Last Print): </w:t>
      </w:r>
      <w:r>
        <w:rPr>
          <w:rFonts w:ascii="Calibri" w:hAnsi="Calibri"/>
          <w:color w:val="525866"/>
          <w:sz w:val="22"/>
        </w:rPr>
        <w:t xml:space="preserve">Beat on both revenue and EPS; raised advanced packaging revenue target to ~$1B for 2026 (from mid-to-high teens growth); raised WFE outlook to exceed $140B; provided unprecedented 2027 directional guidance (WFE growth rate to exceed 2026); achieved #1 position in process control for advanced wafer level packaging for 2025. Trailing twelve-month FCF reached $4B. </w:t>
      </w:r>
      <w:r>
        <w:rPr>
          <w:rFonts w:ascii="Calibri" w:hAnsi="Calibri"/>
          <w:color w:val="525866"/>
          <w:sz w:val="22"/>
        </w:rPr>
        <w:t>Implication: Baseline for current quarter expectations; sets the bar for Q4 FY2026.</w:t>
      </w:r>
    </w:p>
    <w:p>
      <w:pPr>
        <w:pStyle w:val="ListBullet"/>
        <w:ind w:left="360" w:hanging="360"/>
      </w:pPr>
      <w:r>
        <w:rPr>
          <w:rFonts w:ascii="Calibri" w:hAnsi="Calibri"/>
          <w:b/>
          <w:color w:val="525866"/>
          <w:sz w:val="22"/>
        </w:rPr>
        <w:t xml:space="preserve">March 2026 — KLA Investor Day: </w:t>
      </w:r>
      <w:r>
        <w:rPr>
          <w:rFonts w:ascii="Calibri" w:hAnsi="Calibri"/>
          <w:color w:val="525866"/>
          <w:sz w:val="22"/>
        </w:rPr>
        <w:t xml:space="preserve">Introduced 2030 revenue target of ~$26B (±$2.5B) with EPS of ~$84 (±$8); service business long-term CAGR raised to 13–15%; commitment to return &gt;90% of FCF; 17th consecutive quarterly dividend increase; new share repurchase authorization. Gartner data confirmed KLA gained ~80bps of process control market share in 2025 and holds #1 position in 7 of 10 sub-segments. </w:t>
      </w:r>
      <w:r>
        <w:rPr>
          <w:rFonts w:ascii="Calibri" w:hAnsi="Calibri"/>
          <w:color w:val="525866"/>
          <w:sz w:val="22"/>
        </w:rPr>
        <w:t>Implication: Long-term framework reinforces structural growth story; capital return commitment supports valuation.</w:t>
      </w:r>
    </w:p>
    <w:p>
      <w:pPr>
        <w:pStyle w:val="ListBullet"/>
        <w:ind w:left="360" w:hanging="360"/>
      </w:pPr>
      <w:r>
        <w:rPr>
          <w:rFonts w:ascii="Calibri" w:hAnsi="Calibri"/>
          <w:b/>
          <w:color w:val="525866"/>
          <w:sz w:val="22"/>
        </w:rPr>
        <w:t xml:space="preserve">Ongoing — China Export Control Dynamics: </w:t>
      </w:r>
      <w:r>
        <w:rPr>
          <w:rFonts w:ascii="Calibri" w:hAnsi="Calibri"/>
          <w:color w:val="525866"/>
          <w:sz w:val="22"/>
        </w:rPr>
        <w:t xml:space="preserve">KLA received a letter regarding Hong Kong-related export restrictions (Hua Hong affiliates) but characterized the impact as “fairly immaterial and contemplated in guidance.” China spending described as roughly flat and expected to grow at a slower rate than overall WFE going forward. </w:t>
      </w:r>
      <w:r>
        <w:rPr>
          <w:rFonts w:ascii="Calibri" w:hAnsi="Calibri"/>
          <w:color w:val="525866"/>
          <w:sz w:val="22"/>
        </w:rPr>
        <w:t>Implication: Manageable headwind; not a material risk to the Q4 FY2026 print.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activity since the April 29 earnings date consists of 10b5-1 planned sales and routine tax-withholding transactions — no discretionary open-market selling or buying. The pattern is consistent with normal executive compensation plan execution and does not signal any negative view on the upcoming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Higgins, Bren D.</w:t>
            </w:r>
          </w:p>
        </w:tc>
        <w:tc>
          <w:tcPr>
            <w:tcW w:type="dxa" w:w="1440"/>
          </w:tcPr>
          <w:p>
            <w:r>
              <w:rPr>
                <w:rFonts w:ascii="Calibri" w:hAnsi="Calibri"/>
                <w:sz w:val="22"/>
              </w:rPr>
              <w:t>EVP &amp; CFO</w:t>
            </w:r>
          </w:p>
        </w:tc>
        <w:tc>
          <w:tcPr>
            <w:tcW w:type="dxa" w:w="1440"/>
          </w:tcPr>
          <w:p>
            <w:r>
              <w:rPr>
                <w:rFonts w:ascii="Calibri" w:hAnsi="Calibri"/>
                <w:sz w:val="22"/>
              </w:rPr>
              <w:t>10b5-1 Planned Sale</w:t>
            </w:r>
          </w:p>
        </w:tc>
        <w:tc>
          <w:tcPr>
            <w:tcW w:type="dxa" w:w="1440"/>
          </w:tcPr>
          <w:p>
            <w:r>
              <w:rPr>
                <w:rFonts w:ascii="Calibri" w:hAnsi="Calibri"/>
                <w:sz w:val="22"/>
              </w:rPr>
              <w:t>27,701</w:t>
            </w:r>
          </w:p>
        </w:tc>
        <w:tc>
          <w:tcPr>
            <w:tcW w:type="dxa" w:w="1440"/>
          </w:tcPr>
          <w:p>
            <w:r>
              <w:rPr>
                <w:rFonts w:ascii="Calibri" w:hAnsi="Calibri"/>
                <w:sz w:val="22"/>
              </w:rPr>
              <w:t>July 2, 2026</w:t>
            </w:r>
          </w:p>
        </w:tc>
        <w:tc>
          <w:tcPr>
            <w:tcW w:type="dxa" w:w="1440"/>
          </w:tcPr>
          <w:p>
            <w:r>
              <w:rPr>
                <w:rFonts w:ascii="Calibri" w:hAnsi="Calibri"/>
                <w:sz w:val="22"/>
              </w:rPr>
              <w:t>Pre-scheduled 10b5-1 plan; routine</w:t>
            </w:r>
          </w:p>
        </w:tc>
      </w:tr>
      <w:tr>
        <w:tc>
          <w:tcPr>
            <w:tcW w:type="dxa" w:w="1440"/>
          </w:tcPr>
          <w:p>
            <w:r>
              <w:rPr>
                <w:rFonts w:ascii="Calibri" w:hAnsi="Calibri"/>
                <w:sz w:val="22"/>
              </w:rPr>
              <w:t>Kirloskar, Virendra A.</w:t>
            </w:r>
          </w:p>
        </w:tc>
        <w:tc>
          <w:tcPr>
            <w:tcW w:type="dxa" w:w="1440"/>
          </w:tcPr>
          <w:p>
            <w:r>
              <w:rPr>
                <w:rFonts w:ascii="Calibri" w:hAnsi="Calibri"/>
                <w:sz w:val="22"/>
              </w:rPr>
              <w:t>SVP &amp; Chief Accounting Officer</w:t>
            </w:r>
          </w:p>
        </w:tc>
        <w:tc>
          <w:tcPr>
            <w:tcW w:type="dxa" w:w="1440"/>
          </w:tcPr>
          <w:p>
            <w:r>
              <w:rPr>
                <w:rFonts w:ascii="Calibri" w:hAnsi="Calibri"/>
                <w:sz w:val="22"/>
              </w:rPr>
              <w:t>10b5-1 Planned Sale</w:t>
            </w:r>
          </w:p>
        </w:tc>
        <w:tc>
          <w:tcPr>
            <w:tcW w:type="dxa" w:w="1440"/>
          </w:tcPr>
          <w:p>
            <w:r>
              <w:rPr>
                <w:rFonts w:ascii="Calibri" w:hAnsi="Calibri"/>
                <w:sz w:val="22"/>
              </w:rPr>
              <w:t>196</w:t>
            </w:r>
          </w:p>
        </w:tc>
        <w:tc>
          <w:tcPr>
            <w:tcW w:type="dxa" w:w="1440"/>
          </w:tcPr>
          <w:p>
            <w:r>
              <w:rPr>
                <w:rFonts w:ascii="Calibri" w:hAnsi="Calibri"/>
                <w:sz w:val="22"/>
              </w:rPr>
              <w:t>July 2, 2026</w:t>
            </w:r>
          </w:p>
        </w:tc>
        <w:tc>
          <w:tcPr>
            <w:tcW w:type="dxa" w:w="1440"/>
          </w:tcPr>
          <w:p>
            <w:r>
              <w:rPr>
                <w:rFonts w:ascii="Calibri" w:hAnsi="Calibri"/>
                <w:sz w:val="22"/>
              </w:rPr>
              <w:t>Pre-scheduled 10b5-1 plan; routine</w:t>
            </w:r>
          </w:p>
        </w:tc>
      </w:tr>
      <w:tr>
        <w:tc>
          <w:tcPr>
            <w:tcW w:type="dxa" w:w="1440"/>
          </w:tcPr>
          <w:p>
            <w:r>
              <w:rPr>
                <w:rFonts w:ascii="Calibri" w:hAnsi="Calibri"/>
                <w:sz w:val="22"/>
              </w:rPr>
              <w:t>Wallace, Richard P.</w:t>
            </w:r>
          </w:p>
        </w:tc>
        <w:tc>
          <w:tcPr>
            <w:tcW w:type="dxa" w:w="1440"/>
          </w:tcPr>
          <w:p>
            <w:r>
              <w:rPr>
                <w:rFonts w:ascii="Calibri" w:hAnsi="Calibri"/>
                <w:sz w:val="22"/>
              </w:rPr>
              <w:t>President &amp; CEO</w:t>
            </w:r>
          </w:p>
        </w:tc>
        <w:tc>
          <w:tcPr>
            <w:tcW w:type="dxa" w:w="1440"/>
          </w:tcPr>
          <w:p>
            <w:r>
              <w:rPr>
                <w:rFonts w:ascii="Calibri" w:hAnsi="Calibri"/>
                <w:sz w:val="22"/>
              </w:rPr>
              <w:t>Tax Withholding (F-code)</w:t>
            </w:r>
          </w:p>
        </w:tc>
        <w:tc>
          <w:tcPr>
            <w:tcW w:type="dxa" w:w="1440"/>
          </w:tcPr>
          <w:p>
            <w:r>
              <w:rPr>
                <w:rFonts w:ascii="Calibri" w:hAnsi="Calibri"/>
                <w:sz w:val="22"/>
              </w:rPr>
              <w:t>45,850</w:t>
            </w:r>
          </w:p>
        </w:tc>
        <w:tc>
          <w:tcPr>
            <w:tcW w:type="dxa" w:w="1440"/>
          </w:tcPr>
          <w:p>
            <w:r>
              <w:rPr>
                <w:rFonts w:ascii="Calibri" w:hAnsi="Calibri"/>
                <w:sz w:val="22"/>
              </w:rPr>
              <w:t>June 30, 2026</w:t>
            </w:r>
          </w:p>
        </w:tc>
        <w:tc>
          <w:tcPr>
            <w:tcW w:type="dxa" w:w="1440"/>
          </w:tcPr>
          <w:p>
            <w:r>
              <w:rPr>
                <w:rFonts w:ascii="Calibri" w:hAnsi="Calibri"/>
                <w:sz w:val="22"/>
              </w:rPr>
              <w:t>Shares withheld for tax on RSU vest; obligation-driven</w:t>
            </w:r>
          </w:p>
        </w:tc>
      </w:tr>
      <w:tr>
        <w:tc>
          <w:tcPr>
            <w:tcW w:type="dxa" w:w="1440"/>
          </w:tcPr>
          <w:p>
            <w:r>
              <w:rPr>
                <w:rFonts w:ascii="Calibri" w:hAnsi="Calibri"/>
                <w:sz w:val="22"/>
              </w:rPr>
              <w:t>Khan, Ahmad A.</w:t>
            </w:r>
          </w:p>
        </w:tc>
        <w:tc>
          <w:tcPr>
            <w:tcW w:type="dxa" w:w="1440"/>
          </w:tcPr>
          <w:p>
            <w:r>
              <w:rPr>
                <w:rFonts w:ascii="Calibri" w:hAnsi="Calibri"/>
                <w:sz w:val="22"/>
              </w:rPr>
              <w:t>President, Semi. Products &amp; Customers</w:t>
            </w:r>
          </w:p>
        </w:tc>
        <w:tc>
          <w:tcPr>
            <w:tcW w:type="dxa" w:w="1440"/>
          </w:tcPr>
          <w:p>
            <w:r>
              <w:rPr>
                <w:rFonts w:ascii="Calibri" w:hAnsi="Calibri"/>
                <w:sz w:val="22"/>
              </w:rPr>
              <w:t>Tax Withholding (F-code)</w:t>
            </w:r>
          </w:p>
        </w:tc>
        <w:tc>
          <w:tcPr>
            <w:tcW w:type="dxa" w:w="1440"/>
          </w:tcPr>
          <w:p>
            <w:r>
              <w:rPr>
                <w:rFonts w:ascii="Calibri" w:hAnsi="Calibri"/>
                <w:sz w:val="22"/>
              </w:rPr>
              <w:t>30,567</w:t>
            </w:r>
          </w:p>
        </w:tc>
        <w:tc>
          <w:tcPr>
            <w:tcW w:type="dxa" w:w="1440"/>
          </w:tcPr>
          <w:p>
            <w:r>
              <w:rPr>
                <w:rFonts w:ascii="Calibri" w:hAnsi="Calibri"/>
                <w:sz w:val="22"/>
              </w:rPr>
              <w:t>June 30, 2026</w:t>
            </w:r>
          </w:p>
        </w:tc>
        <w:tc>
          <w:tcPr>
            <w:tcW w:type="dxa" w:w="1440"/>
          </w:tcPr>
          <w:p>
            <w:r>
              <w:rPr>
                <w:rFonts w:ascii="Calibri" w:hAnsi="Calibri"/>
                <w:sz w:val="22"/>
              </w:rPr>
              <w:t>Shares withheld for tax on RSU vest; obligation-driven</w:t>
            </w:r>
          </w:p>
        </w:tc>
      </w:tr>
      <w:tr>
        <w:tc>
          <w:tcPr>
            <w:tcW w:type="dxa" w:w="1440"/>
          </w:tcPr>
          <w:p>
            <w:r>
              <w:rPr>
                <w:rFonts w:ascii="Calibri" w:hAnsi="Calibri"/>
                <w:sz w:val="22"/>
              </w:rPr>
              <w:t>Higgins, Bren D.</w:t>
            </w:r>
          </w:p>
        </w:tc>
        <w:tc>
          <w:tcPr>
            <w:tcW w:type="dxa" w:w="1440"/>
          </w:tcPr>
          <w:p>
            <w:r>
              <w:rPr>
                <w:rFonts w:ascii="Calibri" w:hAnsi="Calibri"/>
                <w:sz w:val="22"/>
              </w:rPr>
              <w:t>EVP &amp; CFO</w:t>
            </w:r>
          </w:p>
        </w:tc>
        <w:tc>
          <w:tcPr>
            <w:tcW w:type="dxa" w:w="1440"/>
          </w:tcPr>
          <w:p>
            <w:r>
              <w:rPr>
                <w:rFonts w:ascii="Calibri" w:hAnsi="Calibri"/>
                <w:sz w:val="22"/>
              </w:rPr>
              <w:t>Tax Withholding (F-code)</w:t>
            </w:r>
          </w:p>
        </w:tc>
        <w:tc>
          <w:tcPr>
            <w:tcW w:type="dxa" w:w="1440"/>
          </w:tcPr>
          <w:p>
            <w:r>
              <w:rPr>
                <w:rFonts w:ascii="Calibri" w:hAnsi="Calibri"/>
                <w:sz w:val="22"/>
              </w:rPr>
              <w:t>30,567</w:t>
            </w:r>
          </w:p>
        </w:tc>
        <w:tc>
          <w:tcPr>
            <w:tcW w:type="dxa" w:w="1440"/>
          </w:tcPr>
          <w:p>
            <w:r>
              <w:rPr>
                <w:rFonts w:ascii="Calibri" w:hAnsi="Calibri"/>
                <w:sz w:val="22"/>
              </w:rPr>
              <w:t>June 30, 2026</w:t>
            </w:r>
          </w:p>
        </w:tc>
        <w:tc>
          <w:tcPr>
            <w:tcW w:type="dxa" w:w="1440"/>
          </w:tcPr>
          <w:p>
            <w:r>
              <w:rPr>
                <w:rFonts w:ascii="Calibri" w:hAnsi="Calibri"/>
                <w:sz w:val="22"/>
              </w:rPr>
              <w:t>Shares withheld for tax on RSU vest; obligation-driven</w:t>
            </w:r>
          </w:p>
        </w:tc>
      </w:tr>
      <w:tr>
        <w:tc>
          <w:tcPr>
            <w:tcW w:type="dxa" w:w="1440"/>
          </w:tcPr>
          <w:p>
            <w:r>
              <w:rPr>
                <w:rFonts w:ascii="Calibri" w:hAnsi="Calibri"/>
                <w:sz w:val="22"/>
              </w:rPr>
              <w:t>Lorig, Brian</w:t>
            </w:r>
          </w:p>
        </w:tc>
        <w:tc>
          <w:tcPr>
            <w:tcW w:type="dxa" w:w="1440"/>
          </w:tcPr>
          <w:p>
            <w:r>
              <w:rPr>
                <w:rFonts w:ascii="Calibri" w:hAnsi="Calibri"/>
                <w:sz w:val="22"/>
              </w:rPr>
              <w:t>EVP, KLA Global Services</w:t>
            </w:r>
          </w:p>
        </w:tc>
        <w:tc>
          <w:tcPr>
            <w:tcW w:type="dxa" w:w="1440"/>
          </w:tcPr>
          <w:p>
            <w:r>
              <w:rPr>
                <w:rFonts w:ascii="Calibri" w:hAnsi="Calibri"/>
                <w:sz w:val="22"/>
              </w:rPr>
              <w:t>Tax Withholding (F-code)</w:t>
            </w:r>
          </w:p>
        </w:tc>
        <w:tc>
          <w:tcPr>
            <w:tcW w:type="dxa" w:w="1440"/>
          </w:tcPr>
          <w:p>
            <w:r>
              <w:rPr>
                <w:rFonts w:ascii="Calibri" w:hAnsi="Calibri"/>
                <w:sz w:val="22"/>
              </w:rPr>
              <w:t>12,222</w:t>
            </w:r>
          </w:p>
        </w:tc>
        <w:tc>
          <w:tcPr>
            <w:tcW w:type="dxa" w:w="1440"/>
          </w:tcPr>
          <w:p>
            <w:r>
              <w:rPr>
                <w:rFonts w:ascii="Calibri" w:hAnsi="Calibri"/>
                <w:sz w:val="22"/>
              </w:rPr>
              <w:t>June 30, 2026</w:t>
            </w:r>
          </w:p>
        </w:tc>
        <w:tc>
          <w:tcPr>
            <w:tcW w:type="dxa" w:w="1440"/>
          </w:tcPr>
          <w:p>
            <w:r>
              <w:rPr>
                <w:rFonts w:ascii="Calibri" w:hAnsi="Calibri"/>
                <w:sz w:val="22"/>
              </w:rPr>
              <w:t>Shares withheld for tax on RSU vest; obligation-driven</w:t>
            </w:r>
          </w:p>
        </w:tc>
      </w:tr>
      <w:tr>
        <w:tc>
          <w:tcPr>
            <w:tcW w:type="dxa" w:w="1440"/>
          </w:tcPr>
          <w:p>
            <w:r>
              <w:rPr>
                <w:rFonts w:ascii="Calibri" w:hAnsi="Calibri"/>
                <w:sz w:val="22"/>
              </w:rPr>
              <w:t>Wilkinson, Mary Beth</w:t>
            </w:r>
          </w:p>
        </w:tc>
        <w:tc>
          <w:tcPr>
            <w:tcW w:type="dxa" w:w="1440"/>
          </w:tcPr>
          <w:p>
            <w:r>
              <w:rPr>
                <w:rFonts w:ascii="Calibri" w:hAnsi="Calibri"/>
                <w:sz w:val="22"/>
              </w:rPr>
              <w:t>EVP, CLO &amp; Secretary</w:t>
            </w:r>
          </w:p>
        </w:tc>
        <w:tc>
          <w:tcPr>
            <w:tcW w:type="dxa" w:w="1440"/>
          </w:tcPr>
          <w:p>
            <w:r>
              <w:rPr>
                <w:rFonts w:ascii="Calibri" w:hAnsi="Calibri"/>
                <w:sz w:val="22"/>
              </w:rPr>
              <w:t>Tax Withholding (F-code)</w:t>
            </w:r>
          </w:p>
        </w:tc>
        <w:tc>
          <w:tcPr>
            <w:tcW w:type="dxa" w:w="1440"/>
          </w:tcPr>
          <w:p>
            <w:r>
              <w:rPr>
                <w:rFonts w:ascii="Calibri" w:hAnsi="Calibri"/>
                <w:sz w:val="22"/>
              </w:rPr>
              <w:t>10,260</w:t>
            </w:r>
          </w:p>
        </w:tc>
        <w:tc>
          <w:tcPr>
            <w:tcW w:type="dxa" w:w="1440"/>
          </w:tcPr>
          <w:p>
            <w:r>
              <w:rPr>
                <w:rFonts w:ascii="Calibri" w:hAnsi="Calibri"/>
                <w:sz w:val="22"/>
              </w:rPr>
              <w:t>June 30, 2026</w:t>
            </w:r>
          </w:p>
        </w:tc>
        <w:tc>
          <w:tcPr>
            <w:tcW w:type="dxa" w:w="1440"/>
          </w:tcPr>
          <w:p>
            <w:r>
              <w:rPr>
                <w:rFonts w:ascii="Calibri" w:hAnsi="Calibri"/>
                <w:sz w:val="22"/>
              </w:rPr>
              <w:t>Shares withheld for tax on RSU vest; obligation-driven</w:t>
            </w:r>
          </w:p>
        </w:tc>
      </w:tr>
      <w:tr>
        <w:tc>
          <w:tcPr>
            <w:tcW w:type="dxa" w:w="1440"/>
          </w:tcPr>
          <w:p>
            <w:r>
              <w:rPr>
                <w:rFonts w:ascii="Calibri" w:hAnsi="Calibri"/>
                <w:sz w:val="22"/>
              </w:rPr>
              <w:t>Wilkinson, Mary Beth</w:t>
            </w:r>
          </w:p>
        </w:tc>
        <w:tc>
          <w:tcPr>
            <w:tcW w:type="dxa" w:w="1440"/>
          </w:tcPr>
          <w:p>
            <w:r>
              <w:rPr>
                <w:rFonts w:ascii="Calibri" w:hAnsi="Calibri"/>
                <w:sz w:val="22"/>
              </w:rPr>
              <w:t>EVP, CLO &amp; Secretary</w:t>
            </w:r>
          </w:p>
        </w:tc>
        <w:tc>
          <w:tcPr>
            <w:tcW w:type="dxa" w:w="1440"/>
          </w:tcPr>
          <w:p>
            <w:r>
              <w:rPr>
                <w:rFonts w:ascii="Calibri" w:hAnsi="Calibri"/>
                <w:sz w:val="22"/>
              </w:rPr>
              <w:t>10b5-1 Planned Sale</w:t>
            </w:r>
          </w:p>
        </w:tc>
        <w:tc>
          <w:tcPr>
            <w:tcW w:type="dxa" w:w="1440"/>
          </w:tcPr>
          <w:p>
            <w:r>
              <w:rPr>
                <w:rFonts w:ascii="Calibri" w:hAnsi="Calibri"/>
                <w:sz w:val="22"/>
              </w:rPr>
              <w:t>14,392</w:t>
            </w:r>
          </w:p>
        </w:tc>
        <w:tc>
          <w:tcPr>
            <w:tcW w:type="dxa" w:w="1440"/>
          </w:tcPr>
          <w:p>
            <w:r>
              <w:rPr>
                <w:rFonts w:ascii="Calibri" w:hAnsi="Calibri"/>
                <w:sz w:val="22"/>
              </w:rPr>
              <w:t>July 1, 2026</w:t>
            </w:r>
          </w:p>
        </w:tc>
        <w:tc>
          <w:tcPr>
            <w:tcW w:type="dxa" w:w="1440"/>
          </w:tcPr>
          <w:p>
            <w:r>
              <w:rPr>
                <w:rFonts w:ascii="Calibri" w:hAnsi="Calibri"/>
                <w:sz w:val="22"/>
              </w:rPr>
              <w:t>Pre-scheduled 10b5-1 plan; routine</w:t>
            </w:r>
          </w:p>
        </w:tc>
      </w:tr>
      <w:tr>
        <w:tc>
          <w:tcPr>
            <w:tcW w:type="dxa" w:w="1440"/>
          </w:tcPr>
          <w:p>
            <w:r>
              <w:rPr>
                <w:rFonts w:ascii="Calibri" w:hAnsi="Calibri"/>
                <w:sz w:val="22"/>
              </w:rPr>
              <w:t>Wallace, Richard P.</w:t>
            </w:r>
          </w:p>
        </w:tc>
        <w:tc>
          <w:tcPr>
            <w:tcW w:type="dxa" w:w="1440"/>
          </w:tcPr>
          <w:p>
            <w:r>
              <w:rPr>
                <w:rFonts w:ascii="Calibri" w:hAnsi="Calibri"/>
                <w:sz w:val="22"/>
              </w:rPr>
              <w:t>President &amp; CEO</w:t>
            </w:r>
          </w:p>
        </w:tc>
        <w:tc>
          <w:tcPr>
            <w:tcW w:type="dxa" w:w="1440"/>
          </w:tcPr>
          <w:p>
            <w:r>
              <w:rPr>
                <w:rFonts w:ascii="Calibri" w:hAnsi="Calibri"/>
                <w:sz w:val="22"/>
              </w:rPr>
              <w:t>10b5-1 Planned Sale</w:t>
            </w:r>
          </w:p>
        </w:tc>
        <w:tc>
          <w:tcPr>
            <w:tcW w:type="dxa" w:w="1440"/>
          </w:tcPr>
          <w:p>
            <w:r>
              <w:rPr>
                <w:rFonts w:ascii="Calibri" w:hAnsi="Calibri"/>
                <w:sz w:val="22"/>
              </w:rPr>
              <w:t>4,512</w:t>
            </w:r>
          </w:p>
        </w:tc>
        <w:tc>
          <w:tcPr>
            <w:tcW w:type="dxa" w:w="1440"/>
          </w:tcPr>
          <w:p>
            <w:r>
              <w:rPr>
                <w:rFonts w:ascii="Calibri" w:hAnsi="Calibri"/>
                <w:sz w:val="22"/>
              </w:rPr>
              <w:t>June 11, 2026</w:t>
            </w:r>
          </w:p>
        </w:tc>
        <w:tc>
          <w:tcPr>
            <w:tcW w:type="dxa" w:w="1440"/>
          </w:tcPr>
          <w:p>
            <w:r>
              <w:rPr>
                <w:rFonts w:ascii="Calibri" w:hAnsi="Calibri"/>
                <w:sz w:val="22"/>
              </w:rPr>
              <w:t>Pre-scheduled 10b5-1 plan; routine</w:t>
            </w:r>
          </w:p>
        </w:tc>
      </w:tr>
      <w:tr>
        <w:tc>
          <w:tcPr>
            <w:tcW w:type="dxa" w:w="1440"/>
          </w:tcPr>
          <w:p>
            <w:r>
              <w:rPr>
                <w:rFonts w:ascii="Calibri" w:hAnsi="Calibri"/>
                <w:sz w:val="22"/>
              </w:rPr>
              <w:t>Hanley, Jeneanne Michelle</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550</w:t>
            </w:r>
          </w:p>
        </w:tc>
        <w:tc>
          <w:tcPr>
            <w:tcW w:type="dxa" w:w="1440"/>
          </w:tcPr>
          <w:p>
            <w:r>
              <w:rPr>
                <w:rFonts w:ascii="Calibri" w:hAnsi="Calibri"/>
                <w:sz w:val="22"/>
              </w:rPr>
              <w:t>May 11, 2026</w:t>
            </w:r>
          </w:p>
        </w:tc>
        <w:tc>
          <w:tcPr>
            <w:tcW w:type="dxa" w:w="1440"/>
          </w:tcPr>
          <w:p>
            <w:r>
              <w:rPr>
                <w:rFonts w:ascii="Calibri" w:hAnsi="Calibri"/>
                <w:sz w:val="22"/>
              </w:rPr>
              <w:t>Not on 10b5-1 plan; small size, director-level; not flagged as unusual</w:t>
            </w:r>
          </w:p>
        </w:tc>
      </w:tr>
      <w:tr>
        <w:tc>
          <w:tcPr>
            <w:tcW w:type="dxa" w:w="1440"/>
          </w:tcPr>
          <w:p>
            <w:r>
              <w:rPr>
                <w:rFonts w:ascii="Calibri" w:hAnsi="Calibri"/>
                <w:sz w:val="22"/>
              </w:rPr>
              <w:t>Kirloskar, Virendra A.</w:t>
            </w:r>
          </w:p>
        </w:tc>
        <w:tc>
          <w:tcPr>
            <w:tcW w:type="dxa" w:w="1440"/>
          </w:tcPr>
          <w:p>
            <w:r>
              <w:rPr>
                <w:rFonts w:ascii="Calibri" w:hAnsi="Calibri"/>
                <w:sz w:val="22"/>
              </w:rPr>
              <w:t>SVP &amp; Chief Accounting Officer</w:t>
            </w:r>
          </w:p>
        </w:tc>
        <w:tc>
          <w:tcPr>
            <w:tcW w:type="dxa" w:w="1440"/>
          </w:tcPr>
          <w:p>
            <w:r>
              <w:rPr>
                <w:rFonts w:ascii="Calibri" w:hAnsi="Calibri"/>
                <w:sz w:val="22"/>
              </w:rPr>
              <w:t>Open Market Sale</w:t>
            </w:r>
          </w:p>
        </w:tc>
        <w:tc>
          <w:tcPr>
            <w:tcW w:type="dxa" w:w="1440"/>
          </w:tcPr>
          <w:p>
            <w:r>
              <w:rPr>
                <w:rFonts w:ascii="Calibri" w:hAnsi="Calibri"/>
                <w:sz w:val="22"/>
              </w:rPr>
              <w:t>297</w:t>
            </w:r>
          </w:p>
        </w:tc>
        <w:tc>
          <w:tcPr>
            <w:tcW w:type="dxa" w:w="1440"/>
          </w:tcPr>
          <w:p>
            <w:r>
              <w:rPr>
                <w:rFonts w:ascii="Calibri" w:hAnsi="Calibri"/>
                <w:sz w:val="22"/>
              </w:rPr>
              <w:t>May 11, 2026</w:t>
            </w:r>
          </w:p>
        </w:tc>
        <w:tc>
          <w:tcPr>
            <w:tcW w:type="dxa" w:w="1440"/>
          </w:tcPr>
          <w:p>
            <w:r>
              <w:rPr>
                <w:rFonts w:ascii="Calibri" w:hAnsi="Calibri"/>
                <w:sz w:val="22"/>
              </w:rPr>
              <w:t>Not on 10b5-1 plan; small size; not flagged as unusual</w:t>
            </w:r>
          </w:p>
        </w:tc>
      </w:tr>
      <w:tr>
        <w:tc>
          <w:tcPr>
            <w:tcW w:type="dxa" w:w="1440"/>
          </w:tcPr>
          <w:p>
            <w:r>
              <w:rPr>
                <w:rFonts w:ascii="Calibri" w:hAnsi="Calibri"/>
                <w:sz w:val="22"/>
              </w:rPr>
              <w:t>Wallace, Richard P.</w:t>
            </w:r>
          </w:p>
        </w:tc>
        <w:tc>
          <w:tcPr>
            <w:tcW w:type="dxa" w:w="1440"/>
          </w:tcPr>
          <w:p>
            <w:r>
              <w:rPr>
                <w:rFonts w:ascii="Calibri" w:hAnsi="Calibri"/>
                <w:sz w:val="22"/>
              </w:rPr>
              <w:t>President &amp; CEO</w:t>
            </w:r>
          </w:p>
        </w:tc>
        <w:tc>
          <w:tcPr>
            <w:tcW w:type="dxa" w:w="1440"/>
          </w:tcPr>
          <w:p>
            <w:r>
              <w:rPr>
                <w:rFonts w:ascii="Calibri" w:hAnsi="Calibri"/>
                <w:sz w:val="22"/>
              </w:rPr>
              <w:t>10b5-1 Planned Sale</w:t>
            </w:r>
          </w:p>
        </w:tc>
        <w:tc>
          <w:tcPr>
            <w:tcW w:type="dxa" w:w="1440"/>
          </w:tcPr>
          <w:p>
            <w:r>
              <w:rPr>
                <w:rFonts w:ascii="Calibri" w:hAnsi="Calibri"/>
                <w:sz w:val="22"/>
              </w:rPr>
              <w:t>4,512</w:t>
            </w:r>
          </w:p>
        </w:tc>
        <w:tc>
          <w:tcPr>
            <w:tcW w:type="dxa" w:w="1440"/>
          </w:tcPr>
          <w:p>
            <w:r>
              <w:rPr>
                <w:rFonts w:ascii="Calibri" w:hAnsi="Calibri"/>
                <w:sz w:val="22"/>
              </w:rPr>
              <w:t>May 12, 2026</w:t>
            </w:r>
          </w:p>
        </w:tc>
        <w:tc>
          <w:tcPr>
            <w:tcW w:type="dxa" w:w="1440"/>
          </w:tcPr>
          <w:p>
            <w:r>
              <w:rPr>
                <w:rFonts w:ascii="Calibri" w:hAnsi="Calibri"/>
                <w:sz w:val="22"/>
              </w:rPr>
              <w:t>Pre-scheduled 10b5-1 plan; routine</w:t>
            </w:r>
          </w:p>
        </w:tc>
      </w:tr>
    </w:tbl>
    <w:p>
      <w:r>
        <w:rPr>
          <w:rFonts w:ascii="Calibri" w:hAnsi="Calibri"/>
          <w:i/>
          <w:color w:val="525866"/>
          <w:sz w:val="22"/>
        </w:rPr>
        <w:t>Source: Insider Transaction Data (SEC Form 4 filings). All transactions since April 29, 2026 earnings date. F-code transactions are shares withheld for tax obligations on RSU vests — these are non-discretionary and do not reflect a bearish view. The June 30 cluster of F-code transactions across multiple executives reflects a single RSU vesting event. No open-market discretionary buys or unusual-sized discretionary sells were observed.</w:t>
      </w:r>
    </w:p>
    <w:p>
      <w:r>
        <w:rPr>
          <w:rFonts w:ascii="Calibri" w:hAnsi="Calibri"/>
          <w:b/>
          <w:color w:val="525866"/>
          <w:sz w:val="22"/>
        </w:rPr>
        <w:t xml:space="preserve">Disclaimer: </w:t>
      </w:r>
      <w:r>
        <w:rPr>
          <w:rFonts w:ascii="Calibri" w:hAnsi="Calibri"/>
          <w:i/>
          <w:color w:val="525866"/>
          <w:sz w:val="22"/>
        </w:rPr>
        <w:t>This document is prepared for informational purposes only and does not constitute investment advice. All financial data sourced from Visible Alpha Consensus and Actuals Data, SEC Form 4 filings, and publicly available company transcripts. Prepared July 28,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