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KO's recent performance, guidance, and market context before writing the preview. Let me start by gathering key documents.Good context. Let me read the most recent earnings materials and the year-ago quarter for comparison.Now let me get the year-ago Q2 2025 release for comparison and recent stock price data, plus sector context.I have enough to write a comprehensive preview. Let me quickly compute a couple of stock performance figures.# The Coca-Cola Company (KO) — Q2 2026 Earnings Preview</w:t>
      </w:r>
    </w:p>
    <w:p>
      <w:pPr>
        <w:pStyle w:val="BodyText"/>
      </w:pPr>
      <w:r>
        <w:rPr>
          <w:b/>
          <w:bCs/>
        </w:rPr>
        <w:t xml:space="preserve">Report date:</w:t>
      </w:r>
      <w:r>
        <w:t xml:space="preserve"> </w:t>
      </w:r>
      <w:r>
        <w:t xml:space="preserve">Tuesday, July 28, 2026 (before market open) |</w:t>
      </w:r>
      <w:r>
        <w:t xml:space="preserve"> </w:t>
      </w:r>
      <w:r>
        <w:rPr>
          <w:b/>
          <w:bCs/>
        </w:rPr>
        <w:t xml:space="preserve">Event:</w:t>
      </w:r>
      <w:r>
        <w:t xml:space="preserve"> </w:t>
      </w:r>
      <w:r>
        <w:t xml:space="preserve">2026 Q2 Earnings Call, 8:30 a.m. ET</w:t>
      </w:r>
      <w:r>
        <w:t xml:space="preserve"> </w:t>
      </w:r>
      <w:r>
        <w:rPr>
          <w:b/>
          <w:bCs/>
        </w:rPr>
        <w:t xml:space="preserve">Recent price:</w:t>
      </w:r>
      <w:r>
        <w:t xml:space="preserve"> </w:t>
      </w:r>
      <w:r>
        <w:t xml:space="preserve">~$84 |</w:t>
      </w:r>
      <w:r>
        <w:t xml:space="preserve"> </w:t>
      </w:r>
      <w:r>
        <w:rPr>
          <w:b/>
          <w:bCs/>
        </w:rPr>
        <w:t xml:space="preserve">YTD:</w:t>
      </w:r>
      <w:r>
        <w:t xml:space="preserve"> </w:t>
      </w:r>
      <w:r>
        <w:t xml:space="preserve">+21.7% (vs. PEP -1.7%)</w:t>
      </w:r>
    </w:p>
    <w:p>
      <w:r>
        <w:pict>
          <v:rect style="width:0;height:1.5pt" o:hralign="center" o:hrstd="t" o:hr="t"/>
        </w:pict>
      </w:r>
    </w:p>
    <w:bookmarkStart w:id="9" w:name="the-one-line-setup"/>
    <w:p>
      <w:pPr>
        <w:pStyle w:val="Heading2"/>
      </w:pPr>
      <w:r>
        <w:t xml:space="preserve">The One-Line Setup</w:t>
      </w:r>
    </w:p>
    <w:p>
      <w:pPr>
        <w:pStyle w:val="FirstParagraph"/>
      </w:pPr>
      <w:r>
        <w:t xml:space="preserve">Coca-Cola heads into Q2 as one of 2026's staples standouts — the stock is up ~22% YTD and near highs — after a strong Q1 in which management</w:t>
      </w:r>
      <w:r>
        <w:t xml:space="preserve"> </w:t>
      </w:r>
      <w:r>
        <w:rPr>
          <w:i/>
          <w:iCs/>
        </w:rPr>
        <w:t xml:space="preserve">raised</w:t>
      </w:r>
      <w:r>
        <w:t xml:space="preserve"> </w:t>
      </w:r>
      <w:r>
        <w:t xml:space="preserve">full-year EPS guidance. The bar is therefore higher than usual. The two things that will actually move the stock: (1) whether the "balanced algorithm" (volume + price/mix) held up as the calendar tailwind reversed, and (2) any quantification of the</w:t>
      </w:r>
      <w:r>
        <w:t xml:space="preserve"> </w:t>
      </w:r>
      <w:r>
        <w:rPr>
          <w:b/>
          <w:bCs/>
        </w:rPr>
        <w:t xml:space="preserve">Fairlife ransomware attack</w:t>
      </w:r>
      <w:r>
        <w:t xml:space="preserve"> </w:t>
      </w:r>
      <w:r>
        <w:t xml:space="preserve">and its impact on the second-half outlook.</w:t>
      </w:r>
    </w:p>
    <w:p>
      <w:r>
        <w:pict>
          <v:rect style="width:0;height:1.5pt" o:hralign="center" o:hrstd="t" o:hr="t"/>
        </w:pict>
      </w:r>
    </w:p>
    <w:bookmarkEnd w:id="9"/>
    <w:bookmarkStart w:id="10" w:name="consensus--whats-expected"/>
    <w:p>
      <w:pPr>
        <w:pStyle w:val="Heading2"/>
      </w:pPr>
      <w:r>
        <w:t xml:space="preserve">Consensus &amp; What's Expected</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 Consensus</w:t>
            </w:r>
          </w:p>
        </w:tc>
        <w:tc>
          <w:tcPr/>
          <w:p>
            <w:pPr>
              <w:pStyle w:val="Compact"/>
            </w:pPr>
            <w:r>
              <w:t xml:space="preserve">Q2 2025 Actual</w:t>
            </w:r>
          </w:p>
        </w:tc>
        <w:tc>
          <w:tcPr/>
          <w:p>
            <w:pPr>
              <w:pStyle w:val="Compact"/>
            </w:pPr>
            <w:r>
              <w:t xml:space="preserve">Implied Growth</w:t>
            </w:r>
          </w:p>
        </w:tc>
      </w:tr>
      <w:tr>
        <w:tc>
          <w:tcPr/>
          <w:p>
            <w:pPr>
              <w:pStyle w:val="Compact"/>
            </w:pPr>
            <w:r>
              <w:t xml:space="preserve">Comparable EPS</w:t>
            </w:r>
          </w:p>
        </w:tc>
        <w:tc>
          <w:tcPr/>
          <w:p>
            <w:pPr>
              <w:pStyle w:val="Compact"/>
            </w:pPr>
            <w:r>
              <w:t xml:space="preserve">~$0.93</w:t>
            </w:r>
          </w:p>
        </w:tc>
        <w:tc>
          <w:tcPr/>
          <w:p>
            <w:pPr>
              <w:pStyle w:val="Compact"/>
            </w:pPr>
            <w:r>
              <w:t xml:space="preserve">$0.87</w:t>
            </w:r>
          </w:p>
        </w:tc>
        <w:tc>
          <w:tcPr/>
          <w:p>
            <w:pPr>
              <w:pStyle w:val="Compact"/>
            </w:pPr>
            <w:r>
              <w:t xml:space="preserve">+6.9%</w:t>
            </w:r>
          </w:p>
        </w:tc>
      </w:tr>
      <w:tr>
        <w:tc>
          <w:tcPr/>
          <w:p>
            <w:pPr>
              <w:pStyle w:val="Compact"/>
            </w:pPr>
            <w:r>
              <w:t xml:space="preserve">Net revenue</w:t>
            </w:r>
          </w:p>
        </w:tc>
        <w:tc>
          <w:tcPr/>
          <w:p>
            <w:pPr>
              <w:pStyle w:val="Compact"/>
            </w:pPr>
            <w:r>
              <w:t xml:space="preserve">~$13.2B</w:t>
            </w:r>
          </w:p>
        </w:tc>
        <w:tc>
          <w:tcPr/>
          <w:p>
            <w:pPr>
              <w:pStyle w:val="Compact"/>
            </w:pPr>
            <w:r>
              <w:t xml:space="preserve">$12.5B</w:t>
            </w:r>
          </w:p>
        </w:tc>
        <w:tc>
          <w:tcPr/>
          <w:p>
            <w:pPr>
              <w:pStyle w:val="Compact"/>
            </w:pPr>
            <w:r>
              <w:t xml:space="preserve">~+5%</w:t>
            </w:r>
          </w:p>
        </w:tc>
      </w:tr>
      <w:tr>
        <w:tc>
          <w:tcPr/>
          <w:p>
            <w:pPr>
              <w:pStyle w:val="Compact"/>
            </w:pPr>
            <w:r>
              <w:t xml:space="preserve">Organic revenue</w:t>
            </w:r>
          </w:p>
        </w:tc>
        <w:tc>
          <w:tcPr/>
          <w:p>
            <w:pPr>
              <w:pStyle w:val="Compact"/>
            </w:pPr>
            <w:r>
              <w:t xml:space="preserve">~+3.5% (Street)</w:t>
            </w:r>
          </w:p>
        </w:tc>
        <w:tc>
          <w:tcPr/>
          <w:p>
            <w:pPr>
              <w:pStyle w:val="Compact"/>
            </w:pPr>
            <w:r>
              <w:t xml:space="preserve">+5%</w:t>
            </w:r>
          </w:p>
        </w:tc>
        <w:tc>
          <w:tcPr/>
          <w:p>
            <w:pPr>
              <w:pStyle w:val="Compact"/>
            </w:pPr>
            <w:r>
              <w:t xml:space="preserve">—</w:t>
            </w:r>
          </w:p>
        </w:tc>
      </w:tr>
    </w:tbl>
    <w:p>
      <w:pPr>
        <w:pStyle w:val="BodyText"/>
      </w:pPr>
      <w:r>
        <w:t xml:space="preserve">Note the tension between the reported-revenue estimate (+5%) and the organic estimate (~3.5%): the gap reflects an expected currency tailwind (~1%) plus the reversal of Q1's calendar benefit. Management explicitly guided that</w:t>
      </w:r>
      <w:r>
        <w:t xml:space="preserve"> </w:t>
      </w:r>
      <w:r>
        <w:rPr>
          <w:b/>
          <w:bCs/>
        </w:rPr>
        <w:t xml:space="preserve">concentrate shipments would lag unit cases by a couple of points in Q2</w:t>
      </w:r>
      <w:r>
        <w:t xml:space="preserve"> </w:t>
      </w:r>
      <w:r>
        <w:t xml:space="preserve">— the mirror image of the 6 extra days that flattered Q1's concentrate/organic figures. So investors should mentally separate the optical Q1 strength (+10% organic) from underlying trend, and expect a more subdued Q2 headline.</w:t>
      </w:r>
    </w:p>
    <w:p>
      <w:r>
        <w:pict>
          <v:rect style="width:0;height:1.5pt" o:hralign="center" o:hrstd="t" o:hr="t"/>
        </w:pict>
      </w:r>
    </w:p>
    <w:bookmarkEnd w:id="10"/>
    <w:bookmarkStart w:id="11" w:name="reading-q1-for-the-q2-signal"/>
    <w:p>
      <w:pPr>
        <w:pStyle w:val="Heading2"/>
      </w:pPr>
      <w:r>
        <w:t xml:space="preserve">Reading Q1 for the Q2 Signal</w:t>
      </w:r>
    </w:p>
    <w:p>
      <w:pPr>
        <w:pStyle w:val="FirstParagraph"/>
      </w:pPr>
      <w:r>
        <w:t xml:space="preserve">Q1 2026 was genuinely strong but had asterisks:</w:t>
      </w:r>
    </w:p>
    <w:p>
      <w:pPr>
        <w:pStyle w:val="Compact"/>
        <w:numPr>
          <w:ilvl w:val="0"/>
          <w:numId w:val="1001"/>
        </w:numPr>
      </w:pPr>
      <w:r>
        <w:rPr>
          <w:b/>
          <w:bCs/>
        </w:rPr>
        <w:t xml:space="preserve">+3% global unit case volume</w:t>
      </w:r>
      <w:r>
        <w:t xml:space="preserve">, growth in</w:t>
      </w:r>
      <w:r>
        <w:t xml:space="preserve"> </w:t>
      </w:r>
      <w:r>
        <w:rPr>
          <w:i/>
          <w:iCs/>
        </w:rPr>
        <w:t xml:space="preserve">all</w:t>
      </w:r>
      <w:r>
        <w:t xml:space="preserve"> </w:t>
      </w:r>
      <w:r>
        <w:t xml:space="preserve">segments, and a 20th consecutive quarter of value-share gains.</w:t>
      </w:r>
    </w:p>
    <w:p>
      <w:pPr>
        <w:pStyle w:val="Compact"/>
        <w:numPr>
          <w:ilvl w:val="0"/>
          <w:numId w:val="1001"/>
        </w:numPr>
      </w:pPr>
      <w:r>
        <w:rPr>
          <w:b/>
          <w:bCs/>
        </w:rPr>
        <w:t xml:space="preserve">+10% organic revenue</w:t>
      </w:r>
      <w:r>
        <w:t xml:space="preserve">, but ~5 points came from six extra shipping days; underlying was described as "on track" with the 4–5% full-year guide.</w:t>
      </w:r>
    </w:p>
    <w:p>
      <w:pPr>
        <w:pStyle w:val="Compact"/>
        <w:numPr>
          <w:ilvl w:val="0"/>
          <w:numId w:val="1001"/>
        </w:numPr>
      </w:pPr>
      <w:r>
        <w:rPr>
          <w:b/>
          <w:bCs/>
        </w:rPr>
        <w:t xml:space="preserve">Price/mix was only +2%</w:t>
      </w:r>
      <w:r>
        <w:t xml:space="preserve"> </w:t>
      </w:r>
      <w:r>
        <w:t xml:space="preserve">(4 pts pricing, -2 pts mix), softer than the recent trend, from Easter timing, North America category mix (water), and affordability/geographic mix in Asia and LatAm.</w:t>
      </w:r>
    </w:p>
    <w:p>
      <w:pPr>
        <w:pStyle w:val="Compact"/>
        <w:numPr>
          <w:ilvl w:val="0"/>
          <w:numId w:val="1001"/>
        </w:numPr>
      </w:pPr>
      <w:r>
        <w:rPr>
          <w:b/>
          <w:bCs/>
        </w:rPr>
        <w:t xml:space="preserve">Comparable operating margin +70 bps</w:t>
      </w:r>
      <w:r>
        <w:t xml:space="preserve"> </w:t>
      </w:r>
      <w:r>
        <w:t xml:space="preserve">to 34.5%, but</w:t>
      </w:r>
      <w:r>
        <w:t xml:space="preserve"> </w:t>
      </w:r>
      <w:r>
        <w:rPr>
          <w:b/>
          <w:bCs/>
        </w:rPr>
        <w:t xml:space="preserve">gross margin fell ~30 bps</w:t>
      </w:r>
      <w:r>
        <w:t xml:space="preserve"> </w:t>
      </w:r>
      <w:r>
        <w:t xml:space="preserve">— a first in a few years — on tea/coffee commodity inflation and a one-off juice-inventory phasing item in China (APAC operating income actually fell 17% currency-neutral).</w:t>
      </w:r>
    </w:p>
    <w:p>
      <w:pPr>
        <w:pStyle w:val="FirstParagraph"/>
      </w:pPr>
      <w:r>
        <w:rPr>
          <w:b/>
          <w:bCs/>
        </w:rPr>
        <w:t xml:space="preserve">What to watch in Q2:</w:t>
      </w:r>
      <w:r>
        <w:t xml:space="preserve"> </w:t>
      </w:r>
      <w:r>
        <w:t xml:space="preserve">Management framed the year as a "balanced algo" of roughly 3% volume / 2% price-mix that varies quarter to quarter. Given Q2 2025 was a soft volume comp (-1% volume, +6% price/mix), KO should have an easier volume base but a</w:t>
      </w:r>
      <w:r>
        <w:t xml:space="preserve"> </w:t>
      </w:r>
      <w:r>
        <w:rPr>
          <w:i/>
          <w:iCs/>
        </w:rPr>
        <w:t xml:space="preserve">harder</w:t>
      </w:r>
      <w:r>
        <w:t xml:space="preserve"> </w:t>
      </w:r>
      <w:r>
        <w:t xml:space="preserve">price/mix comp. Watch whether the affordability push (entry packs, mini-cans, RGM in developing markets) continues to crimp price/mix — this is the key debate coming out of Q1.</w:t>
      </w:r>
    </w:p>
    <w:p>
      <w:r>
        <w:pict>
          <v:rect style="width:0;height:1.5pt" o:hralign="center" o:hrstd="t" o:hr="t"/>
        </w:pict>
      </w:r>
    </w:p>
    <w:bookmarkEnd w:id="11"/>
    <w:bookmarkStart w:id="12" w:name="the-wildcard-fairlife-ransomware"/>
    <w:p>
      <w:pPr>
        <w:pStyle w:val="Heading2"/>
      </w:pPr>
      <w:r>
        <w:t xml:space="preserve">The Wildcard: Fairlife Ransomware</w:t>
      </w:r>
    </w:p>
    <w:p>
      <w:pPr>
        <w:pStyle w:val="FirstParagraph"/>
      </w:pPr>
      <w:r>
        <w:t xml:space="preserve">This is the differentiated story into the print. In mid-July, KO disclosed that its ~$4B Fairlife dairy brand suffered a</w:t>
      </w:r>
      <w:r>
        <w:t xml:space="preserve"> </w:t>
      </w:r>
      <w:r>
        <w:rPr>
          <w:b/>
          <w:bCs/>
        </w:rPr>
        <w:t xml:space="preserve">ransomware attack that temporarily suspended U.S. production</w:t>
      </w:r>
      <w:r>
        <w:t xml:space="preserve"> </w:t>
      </w:r>
      <w:r>
        <w:t xml:space="preserve">(Canada unaffected). By July 27 the company said Fairlife had</w:t>
      </w:r>
      <w:r>
        <w:t xml:space="preserve"> </w:t>
      </w:r>
      <w:r>
        <w:rPr>
          <w:b/>
          <w:bCs/>
        </w:rPr>
        <w:t xml:space="preserve">resumed the majority of production</w:t>
      </w:r>
      <w:r>
        <w:t xml:space="preserve"> </w:t>
      </w:r>
      <w:r>
        <w:t xml:space="preserve">across its four U.S. facilities.</w:t>
      </w:r>
    </w:p>
    <w:p>
      <w:pPr>
        <w:pStyle w:val="Compact"/>
        <w:numPr>
          <w:ilvl w:val="0"/>
          <w:numId w:val="1002"/>
        </w:numPr>
      </w:pPr>
      <w:r>
        <w:rPr>
          <w:b/>
          <w:bCs/>
        </w:rPr>
        <w:t xml:space="preserve">Timing matters:</w:t>
      </w:r>
      <w:r>
        <w:t xml:space="preserve"> </w:t>
      </w:r>
      <w:r>
        <w:t xml:space="preserve">the incident occurred in</w:t>
      </w:r>
      <w:r>
        <w:t xml:space="preserve"> </w:t>
      </w:r>
      <w:r>
        <w:rPr>
          <w:i/>
          <w:iCs/>
        </w:rPr>
        <w:t xml:space="preserve">July</w:t>
      </w:r>
      <w:r>
        <w:t xml:space="preserve"> </w:t>
      </w:r>
      <w:r>
        <w:t xml:space="preserve">(Q3), so the direct P&amp;L hit to Q2 should be minimal. The risk is to the</w:t>
      </w:r>
      <w:r>
        <w:t xml:space="preserve"> </w:t>
      </w:r>
      <w:r>
        <w:rPr>
          <w:b/>
          <w:bCs/>
        </w:rPr>
        <w:t xml:space="preserve">second-half outlook</w:t>
      </w:r>
      <w:r>
        <w:t xml:space="preserve">.</w:t>
      </w:r>
    </w:p>
    <w:p>
      <w:pPr>
        <w:pStyle w:val="Compact"/>
        <w:numPr>
          <w:ilvl w:val="0"/>
          <w:numId w:val="1002"/>
        </w:numPr>
      </w:pPr>
      <w:r>
        <w:t xml:space="preserve">Bank of America flagged the attack may pressure Q3/Q4 results, with recovery expected by H1 2027.</w:t>
      </w:r>
    </w:p>
    <w:p>
      <w:pPr>
        <w:pStyle w:val="Compact"/>
        <w:numPr>
          <w:ilvl w:val="0"/>
          <w:numId w:val="1002"/>
        </w:numPr>
      </w:pPr>
      <w:r>
        <w:t xml:space="preserve">This compounds a pre-existing issue: on the Q1 call, management noted North America price/mix was already hurt by</w:t>
      </w:r>
      <w:r>
        <w:t xml:space="preserve"> </w:t>
      </w:r>
      <w:r>
        <w:rPr>
          <w:b/>
          <w:bCs/>
        </w:rPr>
        <w:t xml:space="preserve">constrained Fairlife and Topo Chico production capacity</w:t>
      </w:r>
      <w:r>
        <w:t xml:space="preserve">, with the new Webster, NY Fairlife plant only ramping through 2026. Value-added dairy has been a key North America growth engine, so any commentary on lost sales, remediation cost, and capacity timeline will matter.</w:t>
      </w:r>
    </w:p>
    <w:p>
      <w:pPr>
        <w:pStyle w:val="FirstParagraph"/>
      </w:pPr>
      <w:r>
        <w:t xml:space="preserve">Expect this to dominate Q&amp;A. A confident "contained, recovering, no change to guidance" message would be a relief; a quantified drag or guidance caveat would be the negative surprise.</w:t>
      </w:r>
    </w:p>
    <w:p>
      <w:r>
        <w:pict>
          <v:rect style="width:0;height:1.5pt" o:hralign="center" o:hrstd="t" o:hr="t"/>
        </w:pict>
      </w:r>
    </w:p>
    <w:bookmarkEnd w:id="12"/>
    <w:bookmarkStart w:id="13" w:name="X62f6cb3120b9a228c2f7f0f6f7513c107abf1d4"/>
    <w:p>
      <w:pPr>
        <w:pStyle w:val="Heading2"/>
      </w:pPr>
      <w:r>
        <w:t xml:space="preserve">Full-Year Guidance (raised at Q1) — Watch for Changes</w:t>
      </w:r>
    </w:p>
    <w:p>
      <w:pPr>
        <w:pStyle w:val="Compact"/>
        <w:numPr>
          <w:ilvl w:val="0"/>
          <w:numId w:val="1003"/>
        </w:numPr>
      </w:pPr>
      <w:r>
        <w:rPr>
          <w:b/>
          <w:bCs/>
        </w:rPr>
        <w:t xml:space="preserve">Organic revenue:</w:t>
      </w:r>
      <w:r>
        <w:t xml:space="preserve"> </w:t>
      </w:r>
      <w:r>
        <w:t xml:space="preserve">+4% to 5% (unchanged)</w:t>
      </w:r>
    </w:p>
    <w:p>
      <w:pPr>
        <w:pStyle w:val="Compact"/>
        <w:numPr>
          <w:ilvl w:val="0"/>
          <w:numId w:val="1003"/>
        </w:numPr>
      </w:pPr>
      <w:r>
        <w:rPr>
          <w:b/>
          <w:bCs/>
        </w:rPr>
        <w:t xml:space="preserve">Comparable EPS:</w:t>
      </w:r>
      <w:r>
        <w:t xml:space="preserve"> </w:t>
      </w:r>
      <w:r>
        <w:rPr>
          <w:b/>
          <w:bCs/>
        </w:rPr>
        <w:t xml:space="preserve">+8% to 9%</w:t>
      </w:r>
      <w:r>
        <w:t xml:space="preserve"> </w:t>
      </w:r>
      <w:r>
        <w:t xml:space="preserve">vs. $3.00 in 2025 —</w:t>
      </w:r>
      <w:r>
        <w:t xml:space="preserve"> </w:t>
      </w:r>
      <w:r>
        <w:rPr>
          <w:i/>
          <w:iCs/>
        </w:rPr>
        <w:t xml:space="preserve">raised</w:t>
      </w:r>
      <w:r>
        <w:t xml:space="preserve"> </w:t>
      </w:r>
      <w:r>
        <w:t xml:space="preserve">from +7–8%, driven by a lower underlying tax rate (now 19.9% vs. 20.8% prior).</w:t>
      </w:r>
    </w:p>
    <w:p>
      <w:pPr>
        <w:pStyle w:val="Compact"/>
        <w:numPr>
          <w:ilvl w:val="0"/>
          <w:numId w:val="1003"/>
        </w:numPr>
      </w:pPr>
      <w:r>
        <w:rPr>
          <w:b/>
          <w:bCs/>
        </w:rPr>
        <w:t xml:space="preserve">Comparable currency-neutral EPS ex-M&amp;A:</w:t>
      </w:r>
      <w:r>
        <w:t xml:space="preserve"> </w:t>
      </w:r>
      <w:r>
        <w:t xml:space="preserve">+6% to 7%</w:t>
      </w:r>
    </w:p>
    <w:p>
      <w:pPr>
        <w:pStyle w:val="Compact"/>
        <w:numPr>
          <w:ilvl w:val="0"/>
          <w:numId w:val="1003"/>
        </w:numPr>
      </w:pPr>
      <w:r>
        <w:rPr>
          <w:b/>
          <w:bCs/>
        </w:rPr>
        <w:t xml:space="preserve">FX:</w:t>
      </w:r>
      <w:r>
        <w:t xml:space="preserve"> </w:t>
      </w:r>
      <w:r>
        <w:t xml:space="preserve">now a ~1–2 pt tailwind to revenue and ~3 pt tailwind to EPS (a notable swing — FX was a</w:t>
      </w:r>
      <w:r>
        <w:t xml:space="preserve"> </w:t>
      </w:r>
      <w:r>
        <w:rPr>
          <w:i/>
          <w:iCs/>
        </w:rPr>
        <w:t xml:space="preserve">5-point headwind</w:t>
      </w:r>
      <w:r>
        <w:t xml:space="preserve"> </w:t>
      </w:r>
      <w:r>
        <w:t xml:space="preserve">to comparable EPS in Q2 2025).</w:t>
      </w:r>
    </w:p>
    <w:p>
      <w:pPr>
        <w:pStyle w:val="Compact"/>
        <w:numPr>
          <w:ilvl w:val="0"/>
          <w:numId w:val="1003"/>
        </w:numPr>
      </w:pPr>
      <w:r>
        <w:rPr>
          <w:b/>
          <w:bCs/>
        </w:rPr>
        <w:t xml:space="preserve">M&amp;A/divestitures:</w:t>
      </w:r>
      <w:r>
        <w:t xml:space="preserve"> </w:t>
      </w:r>
      <w:r>
        <w:t xml:space="preserve">~4 pt revenue headwind, ~1 pt EPS headwind</w:t>
      </w:r>
    </w:p>
    <w:p>
      <w:pPr>
        <w:pStyle w:val="Compact"/>
        <w:numPr>
          <w:ilvl w:val="0"/>
          <w:numId w:val="1003"/>
        </w:numPr>
      </w:pPr>
      <w:r>
        <w:rPr>
          <w:b/>
          <w:bCs/>
        </w:rPr>
        <w:t xml:space="preserve">Free cash flow:</w:t>
      </w:r>
      <w:r>
        <w:t xml:space="preserve"> </w:t>
      </w:r>
      <w:r>
        <w:t xml:space="preserve">~$12.2B</w:t>
      </w:r>
    </w:p>
    <w:p>
      <w:pPr>
        <w:pStyle w:val="FirstParagraph"/>
      </w:pPr>
      <w:r>
        <w:t xml:space="preserve">The key question: does management raise again, hold, or introduce caution given Fairlife and geopolitics? After a Q1 raise and a 22% YTD run, the market may need a reiteration-plus rather than just a reiteration.</w:t>
      </w:r>
    </w:p>
    <w:p>
      <w:r>
        <w:pict>
          <v:rect style="width:0;height:1.5pt" o:hralign="center" o:hrstd="t" o:hr="t"/>
        </w:pict>
      </w:r>
    </w:p>
    <w:bookmarkEnd w:id="13"/>
    <w:bookmarkStart w:id="14" w:name="other-swing-factors--themes"/>
    <w:p>
      <w:pPr>
        <w:pStyle w:val="Heading2"/>
      </w:pPr>
      <w:r>
        <w:t xml:space="preserve">Other Swing Factors &amp; Themes</w:t>
      </w:r>
    </w:p>
    <w:p>
      <w:pPr>
        <w:pStyle w:val="Compact"/>
        <w:numPr>
          <w:ilvl w:val="0"/>
          <w:numId w:val="1004"/>
        </w:numPr>
      </w:pPr>
      <w:r>
        <w:rPr>
          <w:b/>
          <w:bCs/>
        </w:rPr>
        <w:t xml:space="preserve">FX is now a friend, not a foe.</w:t>
      </w:r>
      <w:r>
        <w:t xml:space="preserve"> </w:t>
      </w:r>
      <w:r>
        <w:t xml:space="preserve">The reversal from a persistent 2025 dollar headwind to a 2026 tailwind is a real, if lower-quality, EPS driver worth isolating from underlying performance.</w:t>
      </w:r>
    </w:p>
    <w:p>
      <w:pPr>
        <w:pStyle w:val="Compact"/>
        <w:numPr>
          <w:ilvl w:val="0"/>
          <w:numId w:val="1004"/>
        </w:numPr>
      </w:pPr>
      <w:r>
        <w:rPr>
          <w:b/>
          <w:bCs/>
        </w:rPr>
        <w:t xml:space="preserve">Geopolitics / Middle East:</w:t>
      </w:r>
      <w:r>
        <w:t xml:space="preserve"> </w:t>
      </w:r>
      <w:r>
        <w:t xml:space="preserve">KO said volume turned negative in the Eurasia &amp; Middle East region in March at the onset of conflict. There's fresh evidence of supply-chain strain — KO</w:t>
      </w:r>
      <w:r>
        <w:t xml:space="preserve"> </w:t>
      </w:r>
      <w:r>
        <w:rPr>
          <w:b/>
          <w:bCs/>
        </w:rPr>
        <w:t xml:space="preserve">raised Diet Coke prices in India &gt;10%</w:t>
      </w:r>
      <w:r>
        <w:t xml:space="preserve"> </w:t>
      </w:r>
      <w:r>
        <w:t xml:space="preserve">as the Strait of Hormuz disruption forced sourcing of pricier aluminum cans from Southeast Asia. Watch EMEA volume and any bottler cost commentary (aluminum/PET exposure sits more with bottlers than KO).</w:t>
      </w:r>
    </w:p>
    <w:p>
      <w:pPr>
        <w:pStyle w:val="Compact"/>
        <w:numPr>
          <w:ilvl w:val="0"/>
          <w:numId w:val="1004"/>
        </w:numPr>
      </w:pPr>
      <w:r>
        <w:rPr>
          <w:b/>
          <w:bCs/>
        </w:rPr>
        <w:t xml:space="preserve">CCBA divestiture:</w:t>
      </w:r>
      <w:r>
        <w:t xml:space="preserve"> </w:t>
      </w:r>
      <w:r>
        <w:t xml:space="preserve">the pending sale of Coca-Cola Beverages Africa is expected to close in H2 2026 and mechanically lifts margins (removing a low-margin bottling business). Any update on timing shifts the H2 margin story.</w:t>
      </w:r>
    </w:p>
    <w:p>
      <w:pPr>
        <w:pStyle w:val="Compact"/>
        <w:numPr>
          <w:ilvl w:val="0"/>
          <w:numId w:val="1004"/>
        </w:numPr>
      </w:pPr>
      <w:r>
        <w:rPr>
          <w:b/>
          <w:bCs/>
        </w:rPr>
        <w:t xml:space="preserve">Margins:</w:t>
      </w:r>
      <w:r>
        <w:t xml:space="preserve"> </w:t>
      </w:r>
      <w:r>
        <w:t xml:space="preserve">management expects the Q1 gross-margin dip (China juice inventory) not to repeat, but tea/coffee commodity inflation persists through the year. Look for gross vs. operating margin bridge.</w:t>
      </w:r>
    </w:p>
    <w:p>
      <w:pPr>
        <w:pStyle w:val="Compact"/>
        <w:numPr>
          <w:ilvl w:val="0"/>
          <w:numId w:val="1004"/>
        </w:numPr>
      </w:pPr>
      <w:r>
        <w:rPr>
          <w:b/>
          <w:bCs/>
        </w:rPr>
        <w:t xml:space="preserve">North America consumer &amp; channels:</w:t>
      </w:r>
      <w:r>
        <w:t xml:space="preserve"> </w:t>
      </w:r>
      <w:r>
        <w:t xml:space="preserve">affordability for low-income consumers, FIFA World Cup activation (a Q2 event with Q1 pre-activation), the U.S. cane-sugar Coke launch, and the McDonald's/Red Bull and "craft beverage" competitive dynamic in foodservice.</w:t>
      </w:r>
    </w:p>
    <w:p>
      <w:pPr>
        <w:pStyle w:val="Compact"/>
        <w:numPr>
          <w:ilvl w:val="0"/>
          <w:numId w:val="1004"/>
        </w:numPr>
      </w:pPr>
      <w:r>
        <w:rPr>
          <w:b/>
          <w:bCs/>
        </w:rPr>
        <w:t xml:space="preserve">IRS tax litigation</w:t>
      </w:r>
      <w:r>
        <w:t xml:space="preserve"> </w:t>
      </w:r>
      <w:r>
        <w:t xml:space="preserve">remains an unquantified balance-sheet overhang; net leverage is a low 1.6x, deliberately conservative pending a court decision.</w:t>
      </w:r>
    </w:p>
    <w:p>
      <w:r>
        <w:pict>
          <v:rect style="width:0;height:1.5pt" o:hralign="center" o:hrstd="t" o:hr="t"/>
        </w:pict>
      </w:r>
    </w:p>
    <w:bookmarkEnd w:id="14"/>
    <w:bookmarkStart w:id="15" w:name="bottom-line"/>
    <w:p>
      <w:pPr>
        <w:pStyle w:val="Heading2"/>
      </w:pPr>
      <w:r>
        <w:t xml:space="preserve">Bottom Line</w:t>
      </w:r>
    </w:p>
    <w:p>
      <w:pPr>
        <w:pStyle w:val="FirstParagraph"/>
      </w:pPr>
      <w:r>
        <w:t xml:space="preserve">KO's model is working — 20 straight quarters of share gains, resilient volume, and FX flipping to a tailwind — and it has clearly separated itself from a struggling PepsiCo, which is partly why the stock has re-rated. That strength is the risk: expectations and valuation are elevated, so</w:t>
      </w:r>
      <w:r>
        <w:t xml:space="preserve"> </w:t>
      </w:r>
      <w:r>
        <w:rPr>
          <w:b/>
          <w:bCs/>
        </w:rPr>
        <w:t xml:space="preserve">a simple "in-line and reiterate" may not be enough to sustain the momentum.</w:t>
      </w:r>
      <w:r>
        <w:t xml:space="preserve"> </w:t>
      </w:r>
      <w:r>
        <w:t xml:space="preserve">The three things to grade the print on:</w:t>
      </w:r>
    </w:p>
    <w:p>
      <w:pPr>
        <w:pStyle w:val="Compact"/>
        <w:numPr>
          <w:ilvl w:val="0"/>
          <w:numId w:val="1005"/>
        </w:numPr>
      </w:pPr>
      <w:r>
        <w:rPr>
          <w:b/>
          <w:bCs/>
        </w:rPr>
        <w:t xml:space="preserve">Underlying quality</w:t>
      </w:r>
      <w:r>
        <w:t xml:space="preserve"> </w:t>
      </w:r>
      <w:r>
        <w:t xml:space="preserve">— did volume and price/mix stay "balanced" once the Q1 calendar benefit reversed (concentrate lagging cases)?</w:t>
      </w:r>
    </w:p>
    <w:p>
      <w:pPr>
        <w:pStyle w:val="Compact"/>
        <w:numPr>
          <w:ilvl w:val="0"/>
          <w:numId w:val="1005"/>
        </w:numPr>
      </w:pPr>
      <w:r>
        <w:rPr>
          <w:b/>
          <w:bCs/>
        </w:rPr>
        <w:t xml:space="preserve">Fairlife</w:t>
      </w:r>
      <w:r>
        <w:t xml:space="preserve"> </w:t>
      </w:r>
      <w:r>
        <w:t xml:space="preserve">— is the disruption contained to Q3/Q4 with no full-year guidance change?</w:t>
      </w:r>
    </w:p>
    <w:p>
      <w:pPr>
        <w:pStyle w:val="Compact"/>
        <w:numPr>
          <w:ilvl w:val="0"/>
          <w:numId w:val="1005"/>
        </w:numPr>
      </w:pPr>
      <w:r>
        <w:rPr>
          <w:b/>
          <w:bCs/>
        </w:rPr>
        <w:t xml:space="preserve">Guidance posture</w:t>
      </w:r>
      <w:r>
        <w:t xml:space="preserve"> </w:t>
      </w:r>
      <w:r>
        <w:t xml:space="preserve">— another raise, or a more cautious tone given geopolitics and Fairlife?</w:t>
      </w:r>
    </w:p>
    <w:p>
      <w:pPr>
        <w:pStyle w:val="FirstParagraph"/>
      </w:pPr>
      <w:r>
        <w:t xml:space="preserve">A clean beat with an unchanged-to-raised full-year outlook and a reassuring Fairlife message is the bull case; conservative second-half commentary on Fairlife, EMEA, and commodity costs is the risk into a stock that has already priced in a lot of good news.</w:t>
      </w:r>
    </w:p>
    <w:p>
      <w:pPr>
        <w:pStyle w:val="BodyText"/>
      </w:pPr>
      <w:r>
        <w:rPr>
          <w:i/>
          <w:iCs/>
        </w:rPr>
        <w:t xml:space="preserve">Note: consensus figures above are drawn from press previews and may differ modestly from the final Street-compiled numbers; treat organic-growth expectations (~3.5%) and the reported-revenue estimate (~$13.2B) as directional.</w:t>
      </w:r>
    </w:p>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2026-07-28T00:22:15Z</dcterms:created>
  <dcterms:modified xsi:type="dcterms:W3CDTF">2026-07-28T00:22:15Z</dcterms:modified>
</cp:coreProperties>
</file>

<file path=docProps/custom.xml><?xml version="1.0" encoding="utf-8"?>
<Properties xmlns="http://schemas.openxmlformats.org/officeDocument/2006/custom-properties" xmlns:vt="http://schemas.openxmlformats.org/officeDocument/2006/docPropsVTypes"/>
</file>