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o-earnings-predictions--2026-07-28"/>
    <w:p>
      <w:pPr>
        <w:pStyle w:val="Heading1"/>
      </w:pPr>
      <w:r>
        <w:t xml:space="preserve">KO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Comparable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~$0.96 vs. cons $0.93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~$13.1B vs. cons $13.2B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Revenue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~3.0% vs. cons 3.5%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Revenue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~4.5% vs. cons 4.4%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Comparable EPS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~8.5% vs. cons 8.0%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Fairlife/Supply Disruption EPS Impact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~-100bps vs. cons 0bps (H2 2026 EPS headwind)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+0.1% (FADE)</w:t>
            </w:r>
          </w:p>
        </w:tc>
        <w:tc>
          <w:tcPr/>
          <w:p>
            <w:pPr>
              <w:pStyle w:val="Compact"/>
            </w:pPr>
            <w:r>
              <w:t xml:space="preserve">EPS beat driven largely by FX tailwind and tax rate, not underlying volume/organic acceleration; organic growth miss vs. consensus (concentrate lag already flagged) and explicit H2 Fairlife/A&amp;D headwinds give sell-side room to trim H2/FY27 estimates even after a modest EPS beat. With KO near all-time highs and priced for perfection, any incremental caution on margin/tax overhang (IRS dispute) or CCBA timing likely causes analysts to temper out-period numbers over the following days, fading the initial pop.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2026-07-28T00:21:41Z</dcterms:created>
  <dcterms:modified xsi:type="dcterms:W3CDTF">2026-07-28T00:21:41Z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