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o-earnings-predictions--2026-07-28"/>
    <w:p>
      <w:pPr>
        <w:pStyle w:val="Heading1"/>
      </w:pPr>
      <w:r>
        <w:t xml:space="preserve">KO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(2026 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~$0.95 vs. cons $0.93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 (2026 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~4.0% vs. cons 3.5%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Unit case volume growth (2026 Q2)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~1.0% vs. cons 1.5%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Comparable EPS growth guidance (FY2026)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~8.0% vs. cons 8.5%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revenue growth guidance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~4.5% vs. cons 4.5%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Fairlife disruption impact on organic 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~-0.5% vs. cons -0.2% (2026 H2)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-2.7% (FOLLOW-THROUGH)</w:t>
            </w:r>
          </w:p>
        </w:tc>
        <w:tc>
          <w:tcPr/>
          <w:p>
            <w:pPr>
              <w:pStyle w:val="Compact"/>
            </w:pPr>
            <w:r>
              <w:t xml:space="preserve">A modest Q2 operating beat is likely outweighed by softer volume and Fairlife-related second-half caution; implicit out-period cuts should pull FY2026 and FY2027 estimates lower after the report.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2026-07-28T00:22:14Z</dcterms:created>
  <dcterms:modified xsi:type="dcterms:W3CDTF">2026-07-28T00:22:14Z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