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coca-cola-ko-2026-q2-earnings-preview"/>
    <w:p>
      <w:pPr>
        <w:pStyle w:val="Heading1"/>
      </w:pPr>
      <w:r>
        <w:t xml:space="preserve">Coca-Cola (KO) 2026 Q2 Earnings Preview</w:t>
      </w:r>
    </w:p>
    <w:p>
      <w:pPr>
        <w:pStyle w:val="BlockText"/>
      </w:pPr>
      <w:r>
        <w:rPr>
          <w:b/>
          <w:bCs/>
        </w:rPr>
        <w:t xml:space="preserve">Timing note:</w:t>
      </w:r>
      <w:r>
        <w:t xml:space="preserve"> </w:t>
      </w:r>
      <w:r>
        <w:t xml:space="preserve">KO is scheduled to report before the U.S. market opens on</w:t>
      </w:r>
      <w:r>
        <w:t xml:space="preserve"> </w:t>
      </w:r>
      <w:r>
        <w:rPr>
          <w:b/>
          <w:bCs/>
        </w:rPr>
        <w:t xml:space="preserve">Tuesday, July 28, 2026</w:t>
      </w:r>
      <w:r>
        <w:t xml:space="preserve">—today, rather than tomorrow, based on the date provided.</w:t>
      </w:r>
    </w:p>
    <w:bookmarkStart w:id="9" w:name="investment-setup"/>
    <w:p>
      <w:pPr>
        <w:pStyle w:val="Heading2"/>
      </w:pPr>
      <w:r>
        <w:t xml:space="preserve">Investment setup</w:t>
      </w:r>
    </w:p>
    <w:p>
      <w:pPr>
        <w:pStyle w:val="FirstParagraph"/>
      </w:pPr>
      <w:r>
        <w:t xml:space="preserve">Coca-Cola enters the report with strong momentum and correspondingly high expectations. First-quarter results exceeded expectations, management raised full-year EPS guidance, and the shares closed July 27 at approximately</w:t>
      </w:r>
      <w:r>
        <w:t xml:space="preserve"> </w:t>
      </w:r>
      <w:r>
        <w:rPr>
          <w:b/>
          <w:bCs/>
        </w:rPr>
        <w:t xml:space="preserve">$84.09</w:t>
      </w:r>
      <w:r>
        <w:t xml:space="preserve">, up about</w:t>
      </w:r>
      <w:r>
        <w:t xml:space="preserve"> </w:t>
      </w:r>
      <w:r>
        <w:rPr>
          <w:b/>
          <w:bCs/>
        </w:rPr>
        <w:t xml:space="preserve">20% since year-end 2025</w:t>
      </w:r>
      <w:r>
        <w:t xml:space="preserve">.</w:t>
      </w:r>
    </w:p>
    <w:p>
      <w:pPr>
        <w:pStyle w:val="BodyText"/>
      </w:pPr>
      <w:r>
        <w:t xml:space="preserve">That leaves less room for a merely “in-line” quarter. Investors will probably care more about the quality of organic growth, second-half guidance, and the impact of Fairlife’s recent cyber disruption than about a small Q2 EPS beat.</w:t>
      </w:r>
    </w:p>
    <w:bookmarkEnd w:id="9"/>
    <w:bookmarkStart w:id="10" w:name="what-the-street-expects"/>
    <w:p>
      <w:pPr>
        <w:pStyle w:val="Heading2"/>
      </w:pPr>
      <w:r>
        <w:t xml:space="preserve">What the Street expects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consensus</w:t>
            </w:r>
          </w:p>
        </w:tc>
        <w:tc>
          <w:tcPr/>
          <w:p>
            <w:pPr>
              <w:pStyle w:val="Compact"/>
              <w:jc w:val="right"/>
            </w:pPr>
            <w:r>
              <w:t xml:space="preserve">Q2 2025 comparison</w:t>
            </w:r>
          </w:p>
        </w:tc>
      </w:tr>
      <w:tr>
        <w:tc>
          <w:tcPr/>
          <w:p>
            <w:pPr>
              <w:pStyle w:val="Compact"/>
            </w:pPr>
            <w:r>
              <w:t xml:space="preserve">Adjusted EPS</w:t>
            </w:r>
          </w:p>
        </w:tc>
        <w:tc>
          <w:tcPr/>
          <w:p>
            <w:pPr>
              <w:pStyle w:val="Compact"/>
              <w:jc w:val="right"/>
            </w:pPr>
            <w:r>
              <w:rPr>
                <w:b/>
                <w:bCs/>
              </w:rPr>
              <w:t xml:space="preserve">~$0.93</w:t>
            </w:r>
          </w:p>
        </w:tc>
        <w:tc>
          <w:tcPr/>
          <w:p>
            <w:pPr>
              <w:pStyle w:val="Compact"/>
              <w:jc w:val="right"/>
            </w:pPr>
            <w:r>
              <w:t xml:space="preserve">$0.87</w:t>
            </w:r>
          </w:p>
        </w:tc>
      </w:tr>
      <w:tr>
        <w:tc>
          <w:tcPr/>
          <w:p>
            <w:pPr>
              <w:pStyle w:val="Compact"/>
            </w:pPr>
            <w:r>
              <w:t xml:space="preserve">Revenue</w:t>
            </w:r>
          </w:p>
        </w:tc>
        <w:tc>
          <w:tcPr/>
          <w:p>
            <w:pPr>
              <w:pStyle w:val="Compact"/>
              <w:jc w:val="right"/>
            </w:pPr>
            <w:r>
              <w:rPr>
                <w:b/>
                <w:bCs/>
              </w:rPr>
              <w:t xml:space="preserve">~$13.2 billion</w:t>
            </w:r>
          </w:p>
        </w:tc>
        <w:tc>
          <w:tcPr/>
          <w:p>
            <w:pPr>
              <w:pStyle w:val="Compact"/>
              <w:jc w:val="right"/>
            </w:pPr>
            <w:r>
              <w:t xml:space="preserve">$12.54 billion reported</w:t>
            </w:r>
          </w:p>
        </w:tc>
      </w:tr>
      <w:tr>
        <w:tc>
          <w:tcPr/>
          <w:p>
            <w:pPr>
              <w:pStyle w:val="Compact"/>
            </w:pPr>
            <w:r>
              <w:t xml:space="preserve">Organic revenue growth</w:t>
            </w:r>
          </w:p>
        </w:tc>
        <w:tc>
          <w:tcPr/>
          <w:p>
            <w:pPr>
              <w:pStyle w:val="Compact"/>
              <w:jc w:val="right"/>
            </w:pPr>
            <w:r>
              <w:rPr>
                <w:b/>
                <w:bCs/>
              </w:rPr>
              <w:t xml:space="preserve">~3.5%</w:t>
            </w:r>
          </w:p>
        </w:tc>
        <w:tc>
          <w:tcPr/>
          <w:p>
            <w:pPr>
              <w:pStyle w:val="Compact"/>
              <w:jc w:val="right"/>
            </w:pPr>
            <w:r>
              <w:t xml:space="preserve">5%</w:t>
            </w:r>
          </w:p>
        </w:tc>
      </w:tr>
      <w:tr>
        <w:tc>
          <w:tcPr/>
          <w:p>
            <w:pPr>
              <w:pStyle w:val="Compact"/>
            </w:pPr>
            <w:r>
              <w:t xml:space="preserve">Unit case volume</w:t>
            </w:r>
          </w:p>
        </w:tc>
        <w:tc>
          <w:tcPr/>
          <w:p>
            <w:pPr>
              <w:pStyle w:val="Compact"/>
              <w:jc w:val="right"/>
            </w:pPr>
            <w:r>
              <w:t xml:space="preserve">Not uniformly disclosed</w:t>
            </w:r>
          </w:p>
        </w:tc>
        <w:tc>
          <w:tcPr/>
          <w:p>
            <w:pPr>
              <w:pStyle w:val="Compact"/>
              <w:jc w:val="right"/>
            </w:pPr>
            <w:r>
              <w:t xml:space="preserve">-1%</w:t>
            </w:r>
          </w:p>
        </w:tc>
      </w:tr>
    </w:tbl>
    <w:p>
      <w:pPr>
        <w:pStyle w:val="BodyText"/>
      </w:pPr>
      <w:r>
        <w:t xml:space="preserve">The EPS estimate implies approximately</w:t>
      </w:r>
      <w:r>
        <w:t xml:space="preserve"> </w:t>
      </w:r>
      <w:r>
        <w:rPr>
          <w:b/>
          <w:bCs/>
        </w:rPr>
        <w:t xml:space="preserve">7% growth</w:t>
      </w:r>
      <w:r>
        <w:t xml:space="preserve">, broadly consistent with management’s full-year currency-neutral earnings algorithm. Reported revenue should benefit from foreign exchange, while divestitures—particularly the planned exit from Coca-Cola Beverages Africa—complicate the headline comparison.</w:t>
      </w:r>
    </w:p>
    <w:bookmarkEnd w:id="10"/>
    <w:bookmarkStart w:id="11" w:name="X59e32be880688a2c1569c9773c3c359bf8ce1f9"/>
    <w:p>
      <w:pPr>
        <w:pStyle w:val="Heading2"/>
      </w:pPr>
      <w:r>
        <w:t xml:space="preserve">The central question: Was Q1 strength sustainable?</w:t>
      </w:r>
    </w:p>
    <w:p>
      <w:pPr>
        <w:pStyle w:val="FirstParagraph"/>
      </w:pPr>
      <w:r>
        <w:t xml:space="preserve">Coca-Cola began 2026 with:</w:t>
      </w:r>
    </w:p>
    <w:p>
      <w:pPr>
        <w:pStyle w:val="Compact"/>
        <w:numPr>
          <w:ilvl w:val="0"/>
          <w:numId w:val="1001"/>
        </w:numPr>
      </w:pPr>
      <w:r>
        <w:rPr>
          <w:b/>
          <w:bCs/>
        </w:rPr>
        <w:t xml:space="preserve">10% organic revenue growth</w:t>
      </w:r>
    </w:p>
    <w:p>
      <w:pPr>
        <w:pStyle w:val="Compact"/>
        <w:numPr>
          <w:ilvl w:val="0"/>
          <w:numId w:val="1001"/>
        </w:numPr>
      </w:pPr>
      <w:r>
        <w:rPr>
          <w:b/>
          <w:bCs/>
        </w:rPr>
        <w:t xml:space="preserve">3% unit case volume growth</w:t>
      </w:r>
    </w:p>
    <w:p>
      <w:pPr>
        <w:pStyle w:val="Compact"/>
        <w:numPr>
          <w:ilvl w:val="0"/>
          <w:numId w:val="1001"/>
        </w:numPr>
      </w:pPr>
      <w:r>
        <w:rPr>
          <w:b/>
          <w:bCs/>
        </w:rPr>
        <w:t xml:space="preserve">2% price/mix growth</w:t>
      </w:r>
    </w:p>
    <w:p>
      <w:pPr>
        <w:pStyle w:val="Compact"/>
        <w:numPr>
          <w:ilvl w:val="0"/>
          <w:numId w:val="1001"/>
        </w:numPr>
      </w:pPr>
      <w:r>
        <w:rPr>
          <w:b/>
          <w:bCs/>
        </w:rPr>
        <w:t xml:space="preserve">18% comparable EPS growth to $0.86</w:t>
      </w:r>
    </w:p>
    <w:p>
      <w:pPr>
        <w:pStyle w:val="Compact"/>
        <w:numPr>
          <w:ilvl w:val="0"/>
          <w:numId w:val="1001"/>
        </w:numPr>
      </w:pPr>
      <w:r>
        <w:t xml:space="preserve">Value-share gains for the 20th consecutive quarter</w:t>
      </w:r>
    </w:p>
    <w:p>
      <w:pPr>
        <w:pStyle w:val="FirstParagraph"/>
      </w:pPr>
      <w:r>
        <w:t xml:space="preserve">However, Q1 contained two meaningful timing benefits: six additional reporting days and concentrate shipments running ahead of consumer-level volumes. Management explicitly warned that</w:t>
      </w:r>
      <w:r>
        <w:t xml:space="preserve"> </w:t>
      </w:r>
      <w:r>
        <w:rPr>
          <w:b/>
          <w:bCs/>
        </w:rPr>
        <w:t xml:space="preserve">Q2 concentrate shipments would lag unit cases by a couple of percentage points</w:t>
      </w:r>
      <w:r>
        <w:t xml:space="preserve">.</w:t>
      </w:r>
    </w:p>
    <w:p>
      <w:pPr>
        <w:pStyle w:val="BodyText"/>
      </w:pPr>
      <w:r>
        <w:t xml:space="preserve">Accordingly, a sharp deceleration from Q1’s 10% organic growth is expected and should not automatically be interpreted as weaker consumer demand. The more useful test is whether KO can sustain its targeted</w:t>
      </w:r>
      <w:r>
        <w:t xml:space="preserve"> </w:t>
      </w:r>
      <w:r>
        <w:rPr>
          <w:b/>
          <w:bCs/>
        </w:rPr>
        <w:t xml:space="preserve">balanced growth algorithm</w:t>
      </w:r>
      <w:r>
        <w:t xml:space="preserve">, with roughly low-single-digit contributions from both volume and price/mix.</w:t>
      </w:r>
    </w:p>
    <w:p>
      <w:pPr>
        <w:pStyle w:val="BodyText"/>
      </w:pPr>
      <w:r>
        <w:t xml:space="preserve">A healthy result would likely contain:</w:t>
      </w:r>
    </w:p>
    <w:p>
      <w:pPr>
        <w:pStyle w:val="Compact"/>
        <w:numPr>
          <w:ilvl w:val="0"/>
          <w:numId w:val="1002"/>
        </w:numPr>
      </w:pPr>
      <w:r>
        <w:t xml:space="preserve">Positive global unit case volume;</w:t>
      </w:r>
    </w:p>
    <w:p>
      <w:pPr>
        <w:pStyle w:val="Compact"/>
        <w:numPr>
          <w:ilvl w:val="0"/>
          <w:numId w:val="1002"/>
        </w:numPr>
      </w:pPr>
      <w:r>
        <w:t xml:space="preserve">Price/mix that improves from Q1’s unusually soft 2%;</w:t>
      </w:r>
    </w:p>
    <w:p>
      <w:pPr>
        <w:pStyle w:val="Compact"/>
        <w:numPr>
          <w:ilvl w:val="0"/>
          <w:numId w:val="1002"/>
        </w:numPr>
      </w:pPr>
      <w:r>
        <w:t xml:space="preserve">Organic growth near or above the 3.5% consensus despite shipment timing; and</w:t>
      </w:r>
    </w:p>
    <w:p>
      <w:pPr>
        <w:pStyle w:val="Compact"/>
        <w:numPr>
          <w:ilvl w:val="0"/>
          <w:numId w:val="1002"/>
        </w:numPr>
      </w:pPr>
      <w:r>
        <w:t xml:space="preserve">Continued value-share gains.</w:t>
      </w:r>
    </w:p>
    <w:bookmarkEnd w:id="11"/>
    <w:bookmarkStart w:id="17" w:name="key-issues-to-watch"/>
    <w:p>
      <w:pPr>
        <w:pStyle w:val="Heading2"/>
      </w:pPr>
      <w:r>
        <w:t xml:space="preserve">Key issues to watch</w:t>
      </w:r>
    </w:p>
    <w:bookmarkStart w:id="12" w:name="Xd38c3889e52495db16252969d78e982aba9dbc8"/>
    <w:p>
      <w:pPr>
        <w:pStyle w:val="Heading3"/>
      </w:pPr>
      <w:r>
        <w:t xml:space="preserve">1. Fairlife: Q2 numbers matter less than the second-half warning</w:t>
      </w:r>
    </w:p>
    <w:p>
      <w:pPr>
        <w:pStyle w:val="FirstParagraph"/>
      </w:pPr>
      <w:r>
        <w:t xml:space="preserve">Fairlife temporarily suspended U.S. production following a July cyber incident. Coca-Cola subsequently said the majority of production had resumed at Fairlife’s four U.S. facilities.</w:t>
      </w:r>
    </w:p>
    <w:p>
      <w:pPr>
        <w:pStyle w:val="BodyText"/>
      </w:pPr>
      <w:r>
        <w:t xml:space="preserve">Because the disruption occurred after the likely end of the Q2 reporting period, the quarter’s reported results should see little direct impact. The important questions are prospective:</w:t>
      </w:r>
    </w:p>
    <w:p>
      <w:pPr>
        <w:pStyle w:val="Compact"/>
        <w:numPr>
          <w:ilvl w:val="0"/>
          <w:numId w:val="1003"/>
        </w:numPr>
      </w:pPr>
      <w:r>
        <w:t xml:space="preserve">How much production and distribution was lost in July?</w:t>
      </w:r>
    </w:p>
    <w:p>
      <w:pPr>
        <w:pStyle w:val="Compact"/>
        <w:numPr>
          <w:ilvl w:val="0"/>
          <w:numId w:val="1003"/>
        </w:numPr>
      </w:pPr>
      <w:r>
        <w:t xml:space="preserve">When will all facilities return to normal utilization?</w:t>
      </w:r>
    </w:p>
    <w:p>
      <w:pPr>
        <w:pStyle w:val="Compact"/>
        <w:numPr>
          <w:ilvl w:val="0"/>
          <w:numId w:val="1003"/>
        </w:numPr>
      </w:pPr>
      <w:r>
        <w:t xml:space="preserve">Was product availability materially affected?</w:t>
      </w:r>
    </w:p>
    <w:p>
      <w:pPr>
        <w:pStyle w:val="Compact"/>
        <w:numPr>
          <w:ilvl w:val="0"/>
          <w:numId w:val="1003"/>
        </w:numPr>
      </w:pPr>
      <w:r>
        <w:t xml:space="preserve">Will the incident reduce Q3 or Q4 revenue and profit?</w:t>
      </w:r>
    </w:p>
    <w:p>
      <w:pPr>
        <w:pStyle w:val="Compact"/>
        <w:numPr>
          <w:ilvl w:val="0"/>
          <w:numId w:val="1003"/>
        </w:numPr>
      </w:pPr>
      <w:r>
        <w:t xml:space="preserve">Are remediation, logistics, or cybersecurity costs material?</w:t>
      </w:r>
    </w:p>
    <w:p>
      <w:pPr>
        <w:pStyle w:val="Compact"/>
        <w:numPr>
          <w:ilvl w:val="0"/>
          <w:numId w:val="1003"/>
        </w:numPr>
      </w:pPr>
      <w:r>
        <w:t xml:space="preserve">Does the disruption delay the benefit from Fairlife’s new Webster, New York capacity?</w:t>
      </w:r>
    </w:p>
    <w:p>
      <w:pPr>
        <w:pStyle w:val="FirstParagraph"/>
      </w:pPr>
      <w:r>
        <w:t xml:space="preserve">Fairlife was already capacity constrained in Q1, even before the cyber incident. Management had expected the Webster facility to begin ramping in Q2, making Fairlife an important part of the North American growth outlook. Any reduction to full-year guidance attributable to this event would likely overshadow a Q2 beat.</w:t>
      </w:r>
    </w:p>
    <w:bookmarkEnd w:id="12"/>
    <w:bookmarkStart w:id="13" w:name="Xd8ba2b458148b50692144695aaa7d184b3de7bb"/>
    <w:p>
      <w:pPr>
        <w:pStyle w:val="Heading3"/>
      </w:pPr>
      <w:r>
        <w:t xml:space="preserve">2. North America volume and mix</w:t>
      </w:r>
    </w:p>
    <w:p>
      <w:pPr>
        <w:pStyle w:val="FirstParagraph"/>
      </w:pPr>
      <w:r>
        <w:t xml:space="preserve">North America was a major Q1 strength:</w:t>
      </w:r>
    </w:p>
    <w:p>
      <w:pPr>
        <w:pStyle w:val="Compact"/>
        <w:numPr>
          <w:ilvl w:val="0"/>
          <w:numId w:val="1004"/>
        </w:numPr>
      </w:pPr>
      <w:r>
        <w:t xml:space="preserve">Unit case volume grew</w:t>
      </w:r>
      <w:r>
        <w:t xml:space="preserve"> </w:t>
      </w:r>
      <w:r>
        <w:rPr>
          <w:b/>
          <w:bCs/>
        </w:rPr>
        <w:t xml:space="preserve">4%</w:t>
      </w:r>
      <w:r>
        <w:t xml:space="preserve">;</w:t>
      </w:r>
    </w:p>
    <w:p>
      <w:pPr>
        <w:pStyle w:val="Compact"/>
        <w:numPr>
          <w:ilvl w:val="0"/>
          <w:numId w:val="1004"/>
        </w:numPr>
      </w:pPr>
      <w:r>
        <w:t xml:space="preserve">Trademark Coca-Cola volume grew</w:t>
      </w:r>
      <w:r>
        <w:t xml:space="preserve"> </w:t>
      </w:r>
      <w:r>
        <w:rPr>
          <w:b/>
          <w:bCs/>
        </w:rPr>
        <w:t xml:space="preserve">5%</w:t>
      </w:r>
      <w:r>
        <w:t xml:space="preserve">;</w:t>
      </w:r>
    </w:p>
    <w:p>
      <w:pPr>
        <w:pStyle w:val="Compact"/>
        <w:numPr>
          <w:ilvl w:val="0"/>
          <w:numId w:val="1004"/>
        </w:numPr>
      </w:pPr>
      <w:r>
        <w:t xml:space="preserve">Revenue increased</w:t>
      </w:r>
      <w:r>
        <w:t xml:space="preserve"> </w:t>
      </w:r>
      <w:r>
        <w:rPr>
          <w:b/>
          <w:bCs/>
        </w:rPr>
        <w:t xml:space="preserve">12%</w:t>
      </w:r>
      <w:r>
        <w:t xml:space="preserve">;</w:t>
      </w:r>
    </w:p>
    <w:p>
      <w:pPr>
        <w:pStyle w:val="Compact"/>
        <w:numPr>
          <w:ilvl w:val="0"/>
          <w:numId w:val="1004"/>
        </w:numPr>
      </w:pPr>
      <w:r>
        <w:t xml:space="preserve">Operating income increased</w:t>
      </w:r>
      <w:r>
        <w:t xml:space="preserve"> </w:t>
      </w:r>
      <w:r>
        <w:rPr>
          <w:b/>
          <w:bCs/>
        </w:rPr>
        <w:t xml:space="preserve">20%</w:t>
      </w:r>
      <w:r>
        <w:t xml:space="preserve"> </w:t>
      </w:r>
      <w:r>
        <w:t xml:space="preserve">on a reported basis.</w:t>
      </w:r>
    </w:p>
    <w:p>
      <w:pPr>
        <w:pStyle w:val="FirstParagraph"/>
      </w:pPr>
      <w:r>
        <w:t xml:space="preserve">But North American price/mix was only 1%, reflecting Easter timing, unfavorable category mix, and constraints at Fairlife and Topo Chico.</w:t>
      </w:r>
    </w:p>
    <w:p>
      <w:pPr>
        <w:pStyle w:val="BodyText"/>
      </w:pPr>
      <w:r>
        <w:t xml:space="preserve">Investors should look for evidence that the region maintained positive volume as comparisons became more difficult. World Cup activations, Coca-Cola Zero Sugar, Diet Coke, mini cans, sports drinks, and stronger availability could support the quarter. Conversely, pressure on lower-income consumers and a shift toward value-oriented packages could weigh on mix.</w:t>
      </w:r>
    </w:p>
    <w:p>
      <w:pPr>
        <w:pStyle w:val="BodyText"/>
      </w:pPr>
      <w:r>
        <w:t xml:space="preserve">The June announcement that North America President Jennifer Mann will leave the role effective August 1 also deserves attention. CFO John Murphy will oversee the operating unit on an interim basis. The change is unlikely to affect Q2 results, but investors may ask about the succession process and whether Murphy’s additional duties create execution risk.</w:t>
      </w:r>
    </w:p>
    <w:bookmarkEnd w:id="13"/>
    <w:bookmarkStart w:id="14" w:name="X3a8e52e2805676d538cdb0f1ac71c2a575d3b13"/>
    <w:p>
      <w:pPr>
        <w:pStyle w:val="Heading3"/>
      </w:pPr>
      <w:r>
        <w:t xml:space="preserve">3. Volume versus affordability</w:t>
      </w:r>
    </w:p>
    <w:p>
      <w:pPr>
        <w:pStyle w:val="FirstParagraph"/>
      </w:pPr>
      <w:r>
        <w:t xml:space="preserve">Management has deliberately emphasized affordable packages and attractive absolute price points, especially for financially pressured consumers. That strategy supports penetration and volume but can produce unfavorable mix.</w:t>
      </w:r>
    </w:p>
    <w:p>
      <w:pPr>
        <w:pStyle w:val="BodyText"/>
      </w:pPr>
      <w:r>
        <w:t xml:space="preserve">This was most visible in Asia Pacific, where Q1 unit case volume rose</w:t>
      </w:r>
      <w:r>
        <w:t xml:space="preserve"> </w:t>
      </w:r>
      <w:r>
        <w:rPr>
          <w:b/>
          <w:bCs/>
        </w:rPr>
        <w:t xml:space="preserve">5%</w:t>
      </w:r>
      <w:r>
        <w:t xml:space="preserve">, but price/mix fell</w:t>
      </w:r>
      <w:r>
        <w:t xml:space="preserve"> </w:t>
      </w:r>
      <w:r>
        <w:rPr>
          <w:b/>
          <w:bCs/>
        </w:rPr>
        <w:t xml:space="preserve">6%</w:t>
      </w:r>
      <w:r>
        <w:t xml:space="preserve">. China and India both posted solid volume growth, yet the region’s operating margin declined sharply because of unfavorable mix, tea and coffee inflation, higher marketing, and an inventory-cost timing item.</w:t>
      </w:r>
    </w:p>
    <w:p>
      <w:pPr>
        <w:pStyle w:val="BodyText"/>
      </w:pPr>
      <w:r>
        <w:t xml:space="preserve">For Q2, the ideal outcome is continued Asian volume growth accompanied by a meaningful recovery in profitability. Investors should distinguish between:</w:t>
      </w:r>
    </w:p>
    <w:p>
      <w:pPr>
        <w:pStyle w:val="Compact"/>
        <w:numPr>
          <w:ilvl w:val="0"/>
          <w:numId w:val="1005"/>
        </w:numPr>
      </w:pPr>
      <w:r>
        <w:rPr>
          <w:b/>
          <w:bCs/>
        </w:rPr>
        <w:t xml:space="preserve">Temporary pressure:</w:t>
      </w:r>
      <w:r>
        <w:t xml:space="preserve"> </w:t>
      </w:r>
      <w:r>
        <w:t xml:space="preserve">the Q1 inventory-cost item management said was anomalous; and</w:t>
      </w:r>
    </w:p>
    <w:p>
      <w:pPr>
        <w:pStyle w:val="Compact"/>
        <w:numPr>
          <w:ilvl w:val="0"/>
          <w:numId w:val="1005"/>
        </w:numPr>
      </w:pPr>
      <w:r>
        <w:rPr>
          <w:b/>
          <w:bCs/>
        </w:rPr>
        <w:t xml:space="preserve">Structural pressure:</w:t>
      </w:r>
      <w:r>
        <w:t xml:space="preserve"> </w:t>
      </w:r>
      <w:r>
        <w:t xml:space="preserve">geographic and package mix as KO invests in affordable offerings and recruits consumers in developing markets.</w:t>
      </w:r>
    </w:p>
    <w:p>
      <w:pPr>
        <w:pStyle w:val="FirstParagraph"/>
      </w:pPr>
      <w:r>
        <w:t xml:space="preserve">If Asia Pacific margins remain weak despite the expected reversal of timing effects, questions about the return on those investments will intensify.</w:t>
      </w:r>
    </w:p>
    <w:bookmarkEnd w:id="14"/>
    <w:bookmarkStart w:id="15" w:name="X8a9b165d74c467ddd2ed1981c8192829cf2d60f"/>
    <w:p>
      <w:pPr>
        <w:pStyle w:val="Heading3"/>
      </w:pPr>
      <w:r>
        <w:t xml:space="preserve">4. Pricing and commodity pressure</w:t>
      </w:r>
    </w:p>
    <w:p>
      <w:pPr>
        <w:pStyle w:val="FirstParagraph"/>
      </w:pPr>
      <w:r>
        <w:t xml:space="preserve">Management said approximately four points of Q1 pricing were offset by two points of unfavorable mix. It expects the full-year contribution from volume and price/mix to be more balanced.</w:t>
      </w:r>
    </w:p>
    <w:p>
      <w:pPr>
        <w:pStyle w:val="BodyText"/>
      </w:pPr>
      <w:r>
        <w:t xml:space="preserve">Gross-margin commentary will be important because:</w:t>
      </w:r>
    </w:p>
    <w:p>
      <w:pPr>
        <w:pStyle w:val="Compact"/>
        <w:numPr>
          <w:ilvl w:val="0"/>
          <w:numId w:val="1006"/>
        </w:numPr>
      </w:pPr>
      <w:r>
        <w:t xml:space="preserve">Tea and coffee remained inflationary;</w:t>
      </w:r>
    </w:p>
    <w:p>
      <w:pPr>
        <w:pStyle w:val="Compact"/>
        <w:numPr>
          <w:ilvl w:val="0"/>
          <w:numId w:val="1006"/>
        </w:numPr>
      </w:pPr>
      <w:r>
        <w:t xml:space="preserve">Bottlers faced packaging pressure in aluminum and PET;</w:t>
      </w:r>
    </w:p>
    <w:p>
      <w:pPr>
        <w:pStyle w:val="Compact"/>
        <w:numPr>
          <w:ilvl w:val="0"/>
          <w:numId w:val="1006"/>
        </w:numPr>
      </w:pPr>
      <w:r>
        <w:t xml:space="preserve">Middle East conflict and transportation disruptions increased supply-chain uncertainty;</w:t>
      </w:r>
    </w:p>
    <w:p>
      <w:pPr>
        <w:pStyle w:val="Compact"/>
        <w:numPr>
          <w:ilvl w:val="0"/>
          <w:numId w:val="1006"/>
        </w:numPr>
      </w:pPr>
      <w:r>
        <w:t xml:space="preserve">Diet Coke pricing in India was recently raised following disruption to aluminum-can sourcing.</w:t>
      </w:r>
    </w:p>
    <w:p>
      <w:pPr>
        <w:pStyle w:val="FirstParagraph"/>
      </w:pPr>
      <w:r>
        <w:t xml:space="preserve">Coca-Cola itself has less packaging exposure than many bottlers, but system economics matter. Aggressive bottler pricing could eventually hurt affordability and volume, while inadequate pricing could pressure bottler investment and execution.</w:t>
      </w:r>
    </w:p>
    <w:bookmarkEnd w:id="15"/>
    <w:bookmarkStart w:id="16" w:name="X77fb8592bc8c3c531577198ec6214cfd62c902e"/>
    <w:p>
      <w:pPr>
        <w:pStyle w:val="Heading3"/>
      </w:pPr>
      <w:r>
        <w:t xml:space="preserve">5. Regional performance</w:t>
      </w:r>
    </w:p>
    <w:p>
      <w:pPr>
        <w:pStyle w:val="FirstParagraph"/>
      </w:pPr>
      <w:r>
        <w:rPr>
          <w:b/>
          <w:bCs/>
        </w:rPr>
        <w:t xml:space="preserve">EMEA:</w:t>
      </w:r>
      <w:r>
        <w:t xml:space="preserve"> </w:t>
      </w:r>
      <w:r>
        <w:t xml:space="preserve">Q1 volume grew despite a decline in Middle East demand after conflict escalated in March. Investors should expect an update on demand, supply continuity, and input inflation in the region.</w:t>
      </w:r>
    </w:p>
    <w:p>
      <w:pPr>
        <w:pStyle w:val="BodyText"/>
      </w:pPr>
      <w:r>
        <w:rPr>
          <w:b/>
          <w:bCs/>
        </w:rPr>
        <w:t xml:space="preserve">Latin America:</w:t>
      </w:r>
      <w:r>
        <w:t xml:space="preserve"> </w:t>
      </w:r>
      <w:r>
        <w:t xml:space="preserve">Brazil and Central America offset weakness in Mexico and Argentina during Q1. Mexico remains important following a sugar-tax increase, while geographic mix can materially affect reported price/mix.</w:t>
      </w:r>
    </w:p>
    <w:p>
      <w:pPr>
        <w:pStyle w:val="BodyText"/>
      </w:pPr>
      <w:r>
        <w:rPr>
          <w:b/>
          <w:bCs/>
        </w:rPr>
        <w:t xml:space="preserve">Asia Pacific:</w:t>
      </w:r>
      <w:r>
        <w:t xml:space="preserve"> </w:t>
      </w:r>
      <w:r>
        <w:t xml:space="preserve">China and India volume momentum is encouraging, but profitability needs to improve.</w:t>
      </w:r>
    </w:p>
    <w:p>
      <w:pPr>
        <w:pStyle w:val="BodyText"/>
      </w:pPr>
      <w:r>
        <w:rPr>
          <w:b/>
          <w:bCs/>
        </w:rPr>
        <w:t xml:space="preserve">North America:</w:t>
      </w:r>
      <w:r>
        <w:t xml:space="preserve"> </w:t>
      </w:r>
      <w:r>
        <w:t xml:space="preserve">This remains the largest operating unit and the main source of near-term Fairlife uncertainty.</w:t>
      </w:r>
    </w:p>
    <w:bookmarkEnd w:id="16"/>
    <w:bookmarkEnd w:id="17"/>
    <w:bookmarkStart w:id="18" w:name="margins-and-earnings-quality"/>
    <w:p>
      <w:pPr>
        <w:pStyle w:val="Heading2"/>
      </w:pPr>
      <w:r>
        <w:t xml:space="preserve">Margins and earnings quality</w:t>
      </w:r>
    </w:p>
    <w:p>
      <w:pPr>
        <w:pStyle w:val="FirstParagraph"/>
      </w:pPr>
      <w:r>
        <w:t xml:space="preserve">Q1 comparable operating margin expanded approximately 70 basis points despite modest gross-margin pressure, helped by operating-expense efficiencies. Management said the Q1 Asia inventory issue should not recur and maintained a constructive full-year margin outlook.</w:t>
      </w:r>
    </w:p>
    <w:p>
      <w:pPr>
        <w:pStyle w:val="BodyText"/>
      </w:pPr>
      <w:r>
        <w:t xml:space="preserve">For Q2, investors should examine:</w:t>
      </w:r>
    </w:p>
    <w:p>
      <w:pPr>
        <w:pStyle w:val="Compact"/>
        <w:numPr>
          <w:ilvl w:val="0"/>
          <w:numId w:val="1007"/>
        </w:numPr>
      </w:pPr>
      <w:r>
        <w:t xml:space="preserve">Comparable gross and operating margins;</w:t>
      </w:r>
    </w:p>
    <w:p>
      <w:pPr>
        <w:pStyle w:val="Compact"/>
        <w:numPr>
          <w:ilvl w:val="0"/>
          <w:numId w:val="1007"/>
        </w:numPr>
      </w:pPr>
      <w:r>
        <w:t xml:space="preserve">Marketing-spending growth, particularly around the World Cup;</w:t>
      </w:r>
    </w:p>
    <w:p>
      <w:pPr>
        <w:pStyle w:val="Compact"/>
        <w:numPr>
          <w:ilvl w:val="0"/>
          <w:numId w:val="1007"/>
        </w:numPr>
      </w:pPr>
      <w:r>
        <w:t xml:space="preserve">Whether Asia Pacific margin recovers;</w:t>
      </w:r>
    </w:p>
    <w:p>
      <w:pPr>
        <w:pStyle w:val="Compact"/>
        <w:numPr>
          <w:ilvl w:val="0"/>
          <w:numId w:val="1007"/>
        </w:numPr>
      </w:pPr>
      <w:r>
        <w:t xml:space="preserve">Commodity inflation in tea and coffee;</w:t>
      </w:r>
    </w:p>
    <w:p>
      <w:pPr>
        <w:pStyle w:val="Compact"/>
        <w:numPr>
          <w:ilvl w:val="0"/>
          <w:numId w:val="1007"/>
        </w:numPr>
      </w:pPr>
      <w:r>
        <w:t xml:space="preserve">The contribution from expense efficiencies;</w:t>
      </w:r>
    </w:p>
    <w:p>
      <w:pPr>
        <w:pStyle w:val="Compact"/>
        <w:numPr>
          <w:ilvl w:val="0"/>
          <w:numId w:val="1007"/>
        </w:numPr>
      </w:pPr>
      <w:r>
        <w:t xml:space="preserve">Equity income and other below-the-line items.</w:t>
      </w:r>
    </w:p>
    <w:p>
      <w:pPr>
        <w:pStyle w:val="FirstParagraph"/>
      </w:pPr>
      <w:r>
        <w:t xml:space="preserve">A headline EPS beat driven primarily by taxes, securities gains, or other nonoperating income would be less convincing than one produced by organic revenue growth and operating-margin expansion.</w:t>
      </w:r>
    </w:p>
    <w:bookmarkEnd w:id="18"/>
    <w:bookmarkStart w:id="19" w:name="Xc44598c10fa3be2a87b67e07d5bd0b64f572f4a"/>
    <w:p>
      <w:pPr>
        <w:pStyle w:val="Heading2"/>
      </w:pPr>
      <w:r>
        <w:t xml:space="preserve">Guidance is the likely stock-moving variable</w:t>
      </w:r>
    </w:p>
    <w:p>
      <w:pPr>
        <w:pStyle w:val="FirstParagraph"/>
      </w:pPr>
      <w:r>
        <w:t xml:space="preserve">Current 2026 guidance calls for:</w:t>
      </w:r>
    </w:p>
    <w:p>
      <w:pPr>
        <w:pStyle w:val="Compact"/>
        <w:numPr>
          <w:ilvl w:val="0"/>
          <w:numId w:val="1008"/>
        </w:numPr>
      </w:pPr>
      <w:r>
        <w:rPr>
          <w:b/>
          <w:bCs/>
        </w:rPr>
        <w:t xml:space="preserve">Organic revenue growth:</w:t>
      </w:r>
      <w:r>
        <w:t xml:space="preserve"> </w:t>
      </w:r>
      <w:r>
        <w:t xml:space="preserve">4%–5%</w:t>
      </w:r>
    </w:p>
    <w:p>
      <w:pPr>
        <w:pStyle w:val="Compact"/>
        <w:numPr>
          <w:ilvl w:val="0"/>
          <w:numId w:val="1008"/>
        </w:numPr>
      </w:pPr>
      <w:r>
        <w:rPr>
          <w:b/>
          <w:bCs/>
        </w:rPr>
        <w:t xml:space="preserve">Comparable currency-neutral EPS growth, excluding acquisitions and divestitures:</w:t>
      </w:r>
      <w:r>
        <w:t xml:space="preserve"> </w:t>
      </w:r>
      <w:r>
        <w:t xml:space="preserve">6%–7%</w:t>
      </w:r>
    </w:p>
    <w:p>
      <w:pPr>
        <w:pStyle w:val="Compact"/>
        <w:numPr>
          <w:ilvl w:val="0"/>
          <w:numId w:val="1008"/>
        </w:numPr>
      </w:pPr>
      <w:r>
        <w:rPr>
          <w:b/>
          <w:bCs/>
        </w:rPr>
        <w:t xml:space="preserve">Comparable EPS growth:</w:t>
      </w:r>
      <w:r>
        <w:t xml:space="preserve"> </w:t>
      </w:r>
      <w:r>
        <w:t xml:space="preserve">8%–9% versus $3.00 in 2025</w:t>
      </w:r>
    </w:p>
    <w:p>
      <w:pPr>
        <w:pStyle w:val="Compact"/>
        <w:numPr>
          <w:ilvl w:val="0"/>
          <w:numId w:val="1008"/>
        </w:numPr>
      </w:pPr>
      <w:r>
        <w:rPr>
          <w:b/>
          <w:bCs/>
        </w:rPr>
        <w:t xml:space="preserve">Implied comparable EPS:</w:t>
      </w:r>
      <w:r>
        <w:t xml:space="preserve"> </w:t>
      </w:r>
      <w:r>
        <w:t xml:space="preserve">approximately</w:t>
      </w:r>
      <w:r>
        <w:t xml:space="preserve"> </w:t>
      </w:r>
      <m:oMath>
        <m:r>
          <m:t>3.24</m:t>
        </m:r>
        <m:r>
          <m:rPr>
            <m:sty m:val="p"/>
          </m:rPr>
          <m:t>–</m:t>
        </m:r>
      </m:oMath>
      <w:r>
        <w:rPr>
          <w:b/>
          <w:bCs/>
        </w:rPr>
        <w:t xml:space="preserve">3.27</w:t>
      </w:r>
    </w:p>
    <w:p>
      <w:pPr>
        <w:pStyle w:val="Compact"/>
        <w:numPr>
          <w:ilvl w:val="0"/>
          <w:numId w:val="1008"/>
        </w:numPr>
      </w:pPr>
      <w:r>
        <w:rPr>
          <w:b/>
          <w:bCs/>
        </w:rPr>
        <w:t xml:space="preserve">Revenue FX benefit:</w:t>
      </w:r>
      <w:r>
        <w:t xml:space="preserve"> </w:t>
      </w:r>
      <w:r>
        <w:t xml:space="preserve">approximately 1–2 points</w:t>
      </w:r>
    </w:p>
    <w:p>
      <w:pPr>
        <w:pStyle w:val="Compact"/>
        <w:numPr>
          <w:ilvl w:val="0"/>
          <w:numId w:val="1008"/>
        </w:numPr>
      </w:pPr>
      <w:r>
        <w:rPr>
          <w:b/>
          <w:bCs/>
        </w:rPr>
        <w:t xml:space="preserve">EPS FX benefit:</w:t>
      </w:r>
      <w:r>
        <w:t xml:space="preserve"> </w:t>
      </w:r>
      <w:r>
        <w:t xml:space="preserve">approximately 3 points</w:t>
      </w:r>
    </w:p>
    <w:p>
      <w:pPr>
        <w:pStyle w:val="Compact"/>
        <w:numPr>
          <w:ilvl w:val="0"/>
          <w:numId w:val="1008"/>
        </w:numPr>
      </w:pPr>
      <w:r>
        <w:rPr>
          <w:b/>
          <w:bCs/>
        </w:rPr>
        <w:t xml:space="preserve">Revenue headwind from divestitures:</w:t>
      </w:r>
      <w:r>
        <w:t xml:space="preserve"> </w:t>
      </w:r>
      <w:r>
        <w:t xml:space="preserve">approximately 4 points</w:t>
      </w:r>
    </w:p>
    <w:p>
      <w:pPr>
        <w:pStyle w:val="Compact"/>
        <w:numPr>
          <w:ilvl w:val="0"/>
          <w:numId w:val="1008"/>
        </w:numPr>
      </w:pPr>
      <w:r>
        <w:rPr>
          <w:b/>
          <w:bCs/>
        </w:rPr>
        <w:t xml:space="preserve">EPS headwind from divestitures:</w:t>
      </w:r>
      <w:r>
        <w:t xml:space="preserve"> </w:t>
      </w:r>
      <w:r>
        <w:t xml:space="preserve">approximately 1 point</w:t>
      </w:r>
    </w:p>
    <w:p>
      <w:pPr>
        <w:pStyle w:val="Compact"/>
        <w:numPr>
          <w:ilvl w:val="0"/>
          <w:numId w:val="1008"/>
        </w:numPr>
      </w:pPr>
      <w:r>
        <w:rPr>
          <w:b/>
          <w:bCs/>
        </w:rPr>
        <w:t xml:space="preserve">Underlying effective tax rate:</w:t>
      </w:r>
      <w:r>
        <w:t xml:space="preserve"> </w:t>
      </w:r>
      <w:r>
        <w:t xml:space="preserve">19.9%</w:t>
      </w:r>
    </w:p>
    <w:p>
      <w:pPr>
        <w:pStyle w:val="FirstParagraph"/>
      </w:pPr>
      <w:r>
        <w:t xml:space="preserve">At the July 27 closing price, KO trades at roughly</w:t>
      </w:r>
      <w:r>
        <w:t xml:space="preserve"> </w:t>
      </w:r>
      <w:r>
        <w:rPr>
          <w:b/>
          <w:bCs/>
        </w:rPr>
        <w:t xml:space="preserve">26 times the midpoint of current 2026 EPS guidance</w:t>
      </w:r>
      <w:r>
        <w:t xml:space="preserve">. That valuation suggests the market is already discounting dependable execution and some possibility of another guidance increase.</w:t>
      </w:r>
    </w:p>
    <w:p>
      <w:pPr>
        <w:pStyle w:val="BodyText"/>
      </w:pPr>
      <w:r>
        <w:t xml:space="preserve">The best outcome would be:</w:t>
      </w:r>
    </w:p>
    <w:p>
      <w:pPr>
        <w:pStyle w:val="Compact"/>
        <w:numPr>
          <w:ilvl w:val="0"/>
          <w:numId w:val="1009"/>
        </w:numPr>
      </w:pPr>
      <w:r>
        <w:t xml:space="preserve">Organic growth at or above consensus;</w:t>
      </w:r>
    </w:p>
    <w:p>
      <w:pPr>
        <w:pStyle w:val="Compact"/>
        <w:numPr>
          <w:ilvl w:val="0"/>
          <w:numId w:val="1009"/>
        </w:numPr>
      </w:pPr>
      <w:r>
        <w:t xml:space="preserve">Positive volume and improving price/mix;</w:t>
      </w:r>
    </w:p>
    <w:p>
      <w:pPr>
        <w:pStyle w:val="Compact"/>
        <w:numPr>
          <w:ilvl w:val="0"/>
          <w:numId w:val="1009"/>
        </w:numPr>
      </w:pPr>
      <w:r>
        <w:t xml:space="preserve">Margin expansion;</w:t>
      </w:r>
    </w:p>
    <w:p>
      <w:pPr>
        <w:pStyle w:val="Compact"/>
        <w:numPr>
          <w:ilvl w:val="0"/>
          <w:numId w:val="1009"/>
        </w:numPr>
      </w:pPr>
      <w:r>
        <w:t xml:space="preserve">Limited Fairlife impact;</w:t>
      </w:r>
    </w:p>
    <w:p>
      <w:pPr>
        <w:pStyle w:val="Compact"/>
        <w:numPr>
          <w:ilvl w:val="0"/>
          <w:numId w:val="1009"/>
        </w:numPr>
      </w:pPr>
      <w:r>
        <w:t xml:space="preserve">Guidance raised or the existing range reaffirmed with confidence.</w:t>
      </w:r>
    </w:p>
    <w:p>
      <w:pPr>
        <w:pStyle w:val="FirstParagraph"/>
      </w:pPr>
      <w:r>
        <w:t xml:space="preserve">A guidance cut—even if limited to the Fairlife incident—would probably receive more attention than an otherwise solid Q2.</w:t>
      </w:r>
    </w:p>
    <w:bookmarkEnd w:id="19"/>
    <w:bookmarkStart w:id="23" w:name="other-items-worth-monitoring"/>
    <w:p>
      <w:pPr>
        <w:pStyle w:val="Heading2"/>
      </w:pPr>
      <w:r>
        <w:t xml:space="preserve">Other items worth monitoring</w:t>
      </w:r>
    </w:p>
    <w:bookmarkStart w:id="20" w:name="coca-cola-beverages-africa-transaction"/>
    <w:p>
      <w:pPr>
        <w:pStyle w:val="Heading3"/>
      </w:pPr>
      <w:r>
        <w:t xml:space="preserve">Coca-Cola Beverages Africa transaction</w:t>
      </w:r>
    </w:p>
    <w:p>
      <w:pPr>
        <w:pStyle w:val="FirstParagraph"/>
      </w:pPr>
      <w:r>
        <w:t xml:space="preserve">Management expects the sale to close in the second half, subject to regulatory approval. Removing this lower-margin bottling operation should mechanically improve Coca-Cola’s consolidated margin profile, but it will reduce reported revenue and earnings. Any change in timing would affect the shape of second-half results.</w:t>
      </w:r>
    </w:p>
    <w:bookmarkEnd w:id="20"/>
    <w:bookmarkStart w:id="21" w:name="bodyarmor"/>
    <w:p>
      <w:pPr>
        <w:pStyle w:val="Heading3"/>
      </w:pPr>
      <w:r>
        <w:t xml:space="preserve">BodyArmor</w:t>
      </w:r>
    </w:p>
    <w:p>
      <w:pPr>
        <w:pStyle w:val="FirstParagraph"/>
      </w:pPr>
      <w:r>
        <w:t xml:space="preserve">Coca-Cola recorded a $960 million BodyArmor trademark impairment in late 2025, leaving a carrying value of approximately $2.44 billion. Management has warned that another impairment could be required if revised forecasts are missed. Investors should listen for evidence that sports-drink performance is stabilizing, although a detailed update may not come unless trends have changed materially.</w:t>
      </w:r>
    </w:p>
    <w:bookmarkEnd w:id="21"/>
    <w:bookmarkStart w:id="22" w:name="irs-litigation"/>
    <w:p>
      <w:pPr>
        <w:pStyle w:val="Heading3"/>
      </w:pPr>
      <w:r>
        <w:t xml:space="preserve">IRS litigation</w:t>
      </w:r>
    </w:p>
    <w:p>
      <w:pPr>
        <w:pStyle w:val="FirstParagraph"/>
      </w:pPr>
      <w:r>
        <w:t xml:space="preserve">The company has already deposited $6 billion related to its transfer-pricing dispute. It estimates that an adverse application of the Tax Court methodology to 2010–2025 could create roughly $14 billion of additional tax and interest exposure, before further accruals. This is unlikely to drive the Q2 operating reaction, but it remains KO’s largest balance-sheet tail risk.</w:t>
      </w:r>
    </w:p>
    <w:bookmarkEnd w:id="22"/>
    <w:bookmarkEnd w:id="23"/>
    <w:bookmarkStart w:id="27" w:name="bull-base-and-bear-interpretations"/>
    <w:p>
      <w:pPr>
        <w:pStyle w:val="Heading2"/>
      </w:pPr>
      <w:r>
        <w:t xml:space="preserve">Bull, base and bear interpretations</w:t>
      </w:r>
    </w:p>
    <w:bookmarkStart w:id="24" w:name="bull-case"/>
    <w:p>
      <w:pPr>
        <w:pStyle w:val="Heading3"/>
      </w:pPr>
      <w:r>
        <w:t xml:space="preserve">Bull case</w:t>
      </w:r>
    </w:p>
    <w:p>
      <w:pPr>
        <w:pStyle w:val="Compact"/>
        <w:numPr>
          <w:ilvl w:val="0"/>
          <w:numId w:val="1010"/>
        </w:numPr>
      </w:pPr>
      <w:r>
        <w:t xml:space="preserve">Organic revenue growth of at least 4%;</w:t>
      </w:r>
    </w:p>
    <w:p>
      <w:pPr>
        <w:pStyle w:val="Compact"/>
        <w:numPr>
          <w:ilvl w:val="0"/>
          <w:numId w:val="1010"/>
        </w:numPr>
      </w:pPr>
      <w:r>
        <w:t xml:space="preserve">Positive volume with 2%–3% price/mix;</w:t>
      </w:r>
    </w:p>
    <w:p>
      <w:pPr>
        <w:pStyle w:val="Compact"/>
        <w:numPr>
          <w:ilvl w:val="0"/>
          <w:numId w:val="1010"/>
        </w:numPr>
      </w:pPr>
      <w:r>
        <w:t xml:space="preserve">North America remains strong;</w:t>
      </w:r>
    </w:p>
    <w:p>
      <w:pPr>
        <w:pStyle w:val="Compact"/>
        <w:numPr>
          <w:ilvl w:val="0"/>
          <w:numId w:val="1010"/>
        </w:numPr>
      </w:pPr>
      <w:r>
        <w:t xml:space="preserve">Asia margins recover;</w:t>
      </w:r>
    </w:p>
    <w:p>
      <w:pPr>
        <w:pStyle w:val="Compact"/>
        <w:numPr>
          <w:ilvl w:val="0"/>
          <w:numId w:val="1010"/>
        </w:numPr>
      </w:pPr>
      <w:r>
        <w:t xml:space="preserve">Fairlife disruption is brief and financially manageable;</w:t>
      </w:r>
    </w:p>
    <w:p>
      <w:pPr>
        <w:pStyle w:val="Compact"/>
        <w:numPr>
          <w:ilvl w:val="0"/>
          <w:numId w:val="1010"/>
        </w:numPr>
      </w:pPr>
      <w:r>
        <w:t xml:space="preserve">Full-year EPS guidance is raised.</w:t>
      </w:r>
    </w:p>
    <w:p>
      <w:pPr>
        <w:pStyle w:val="FirstParagraph"/>
      </w:pPr>
      <w:r>
        <w:t xml:space="preserve">This would support the view that KO can compound earnings at a high-single-digit rate despite macroeconomic and geopolitical volatility.</w:t>
      </w:r>
    </w:p>
    <w:bookmarkEnd w:id="24"/>
    <w:bookmarkStart w:id="25" w:name="base-case"/>
    <w:p>
      <w:pPr>
        <w:pStyle w:val="Heading3"/>
      </w:pPr>
      <w:r>
        <w:t xml:space="preserve">Base case</w:t>
      </w:r>
    </w:p>
    <w:p>
      <w:pPr>
        <w:pStyle w:val="Compact"/>
        <w:numPr>
          <w:ilvl w:val="0"/>
          <w:numId w:val="1011"/>
        </w:numPr>
      </w:pPr>
      <w:r>
        <w:t xml:space="preserve">Results land close to $0.93 EPS and $13.2 billion revenue;</w:t>
      </w:r>
    </w:p>
    <w:p>
      <w:pPr>
        <w:pStyle w:val="Compact"/>
        <w:numPr>
          <w:ilvl w:val="0"/>
          <w:numId w:val="1011"/>
        </w:numPr>
      </w:pPr>
      <w:r>
        <w:t xml:space="preserve">Organic growth is approximately 3%–4%;</w:t>
      </w:r>
    </w:p>
    <w:p>
      <w:pPr>
        <w:pStyle w:val="Compact"/>
        <w:numPr>
          <w:ilvl w:val="0"/>
          <w:numId w:val="1011"/>
        </w:numPr>
      </w:pPr>
      <w:r>
        <w:t xml:space="preserve">Management reiterates guidance;</w:t>
      </w:r>
    </w:p>
    <w:p>
      <w:pPr>
        <w:pStyle w:val="Compact"/>
        <w:numPr>
          <w:ilvl w:val="0"/>
          <w:numId w:val="1011"/>
        </w:numPr>
      </w:pPr>
      <w:r>
        <w:t xml:space="preserve">Fairlife creates manageable Q3 disruption but no full-year change.</w:t>
      </w:r>
    </w:p>
    <w:p>
      <w:pPr>
        <w:pStyle w:val="FirstParagraph"/>
      </w:pPr>
      <w:r>
        <w:t xml:space="preserve">Given the stock’s strong run, an in-line report with unchanged guidance may produce a muted reaction.</w:t>
      </w:r>
    </w:p>
    <w:bookmarkEnd w:id="25"/>
    <w:bookmarkStart w:id="26" w:name="bear-case"/>
    <w:p>
      <w:pPr>
        <w:pStyle w:val="Heading3"/>
      </w:pPr>
      <w:r>
        <w:t xml:space="preserve">Bear case</w:t>
      </w:r>
    </w:p>
    <w:p>
      <w:pPr>
        <w:pStyle w:val="Compact"/>
        <w:numPr>
          <w:ilvl w:val="0"/>
          <w:numId w:val="1012"/>
        </w:numPr>
      </w:pPr>
      <w:r>
        <w:t xml:space="preserve">Volume weakens materially, particularly in North America or EMEA;</w:t>
      </w:r>
    </w:p>
    <w:p>
      <w:pPr>
        <w:pStyle w:val="Compact"/>
        <w:numPr>
          <w:ilvl w:val="0"/>
          <w:numId w:val="1012"/>
        </w:numPr>
      </w:pPr>
      <w:r>
        <w:t xml:space="preserve">Organic growth relies disproportionately on pricing;</w:t>
      </w:r>
    </w:p>
    <w:p>
      <w:pPr>
        <w:pStyle w:val="Compact"/>
        <w:numPr>
          <w:ilvl w:val="0"/>
          <w:numId w:val="1012"/>
        </w:numPr>
      </w:pPr>
      <w:r>
        <w:t xml:space="preserve">Asia Pacific margins fail to recover;</w:t>
      </w:r>
    </w:p>
    <w:p>
      <w:pPr>
        <w:pStyle w:val="Compact"/>
        <w:numPr>
          <w:ilvl w:val="0"/>
          <w:numId w:val="1012"/>
        </w:numPr>
      </w:pPr>
      <w:r>
        <w:t xml:space="preserve">Fairlife causes a meaningful second-half revenue or earnings hit;</w:t>
      </w:r>
    </w:p>
    <w:p>
      <w:pPr>
        <w:pStyle w:val="Compact"/>
        <w:numPr>
          <w:ilvl w:val="0"/>
          <w:numId w:val="1012"/>
        </w:numPr>
      </w:pPr>
      <w:r>
        <w:t xml:space="preserve">Management narrows or reduces guidance.</w:t>
      </w:r>
    </w:p>
    <w:p>
      <w:pPr>
        <w:pStyle w:val="FirstParagraph"/>
      </w:pPr>
      <w:r>
        <w:t xml:space="preserve">The principal valuation risk is not one weak quarter by itself, but evidence that KO’s balanced volume-and-pricing model is becoming harder to sustain.</w:t>
      </w:r>
    </w:p>
    <w:bookmarkEnd w:id="26"/>
    <w:bookmarkEnd w:id="27"/>
    <w:bookmarkStart w:id="28" w:name="bottom-line"/>
    <w:p>
      <w:pPr>
        <w:pStyle w:val="Heading2"/>
      </w:pPr>
      <w:r>
        <w:t xml:space="preserve">Bottom line</w:t>
      </w:r>
    </w:p>
    <w:p>
      <w:pPr>
        <w:pStyle w:val="FirstParagraph"/>
      </w:pPr>
      <w:r>
        <w:t xml:space="preserve">The Q2 numbers face expected noise from concentrate-shipment timing, divestitures, and currency. The most important indicators are therefore</w:t>
      </w:r>
      <w:r>
        <w:t xml:space="preserve"> </w:t>
      </w:r>
      <w:r>
        <w:rPr>
          <w:b/>
          <w:bCs/>
        </w:rPr>
        <w:t xml:space="preserve">consumer-level volume, price/mix balance, and underlying margin performance</w:t>
      </w:r>
      <w:r>
        <w:t xml:space="preserve">.</w:t>
      </w:r>
    </w:p>
    <w:p>
      <w:pPr>
        <w:pStyle w:val="BodyText"/>
      </w:pPr>
      <w:r>
        <w:t xml:space="preserve">The newest and most consequential variable is Fairlife. Since the cyber incident occurred after quarter-end, Q2 could still look strong while the second-half outlook deteriorates. Investors should focus closely on management’s assessment of lost production, customer inventories, recovery timing, and the impact on 2026 guidance.</w:t>
      </w:r>
    </w:p>
    <w:p>
      <w:pPr>
        <w:pStyle w:val="BodyText"/>
      </w:pPr>
      <w:r>
        <w:t xml:space="preserve">With KO up roughly 20% year to date and trading near 26 times expected 2026 earnings, the market is likely to demand more than an EPS beat: it will want reassurance that the company’s growth algorithm—and especially its North American growth engine—remains intact.</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2026-07-28T00:22:14Z</dcterms:created>
  <dcterms:modified xsi:type="dcterms:W3CDTF">2026-07-28T00:22:14Z</dcterms:modified>
</cp:coreProperties>
</file>

<file path=docProps/custom.xml><?xml version="1.0" encoding="utf-8"?>
<Properties xmlns="http://schemas.openxmlformats.org/officeDocument/2006/custom-properties" xmlns:vt="http://schemas.openxmlformats.org/officeDocument/2006/docPropsVTypes"/>
</file>