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Reported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~$13.30B vs. cons $13.20B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~4.0%-5.0% vs. cons 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3.24</m:t>
              </m:r>
              <m:r>
                <m:rPr>
                  <m:sty m:val="p"/>
                </m:rPr>
                <m:t>−</m:t>
              </m:r>
            </m:oMath>
            <w:r>
              <w:t xml:space="preserve">3.27 vs. cons $3.26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~$12.2B vs. cons $12.2B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Fairlife second-half revenue/profit impact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~-$0.02 EPS vs. cons $0.00 EPS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~2% EPS beat and organic-growth outperformance should initially support the shares, but unchanged FY2026 EPS guidance of roughly</w:t>
            </w:r>
            <w:r>
              <w:t xml:space="preserve"> </w:t>
            </w:r>
            <m:oMath>
              <m:r>
                <m:t>3.24</m:t>
              </m:r>
              <m:r>
                <m:rPr>
                  <m:sty m:val="p"/>
                </m:rPr>
                <m:t>−</m:t>
              </m:r>
            </m:oMath>
            <w:r>
              <w:t xml:space="preserve">3.27 versus</w:t>
            </w:r>
            <w:r>
              <w:t xml:space="preserve"> </w:t>
            </w:r>
            <m:oMath>
              <m:r>
                <m:t>3.26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.</m:t>
              </m:r>
              <m:r>
                <m:t>F</m:t>
              </m:r>
              <m:r>
                <m:t>a</m:t>
              </m:r>
              <m:r>
                <m:t>i</m:t>
              </m:r>
              <m:r>
                <m:t>r</m:t>
              </m:r>
              <m:r>
                <m:t>l</m:t>
              </m:r>
              <m:r>
                <m:t>i</m:t>
              </m:r>
              <m:r>
                <m:t>f</m:t>
              </m:r>
              <m:r>
                <m:t>e</m:t>
              </m:r>
              <m:r>
                <m:t>d</m:t>
              </m:r>
              <m:r>
                <m:t>i</m:t>
              </m:r>
              <m:r>
                <m:t>s</m:t>
              </m:r>
              <m:r>
                <m:t>r</m:t>
              </m:r>
              <m:r>
                <m:t>u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p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c</m:t>
              </m:r>
              <m:r>
                <m:t>o</m:t>
              </m:r>
              <m:r>
                <m:t>m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r</m:t>
              </m:r>
              <m:r>
                <m:t>y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0.02 of second-half EPS pressure versus $0.00 in prior expectations, causing the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2026-07-28T00:21:24Z</dcterms:created>
  <dcterms:modified xsi:type="dcterms:W3CDTF">2026-07-28T00:21:24Z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