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coca-cola-nyse-ko--2q26-earnings-preview"/>
    <w:p>
      <w:pPr>
        <w:pStyle w:val="Heading1"/>
      </w:pPr>
      <w:r>
        <w:t xml:space="preserve">Coca-Cola (NYSE: KO)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KO is scheduled to report</w:t>
      </w:r>
      <w:r>
        <w:t xml:space="preserve"> </w:t>
      </w:r>
      <w:r>
        <w:rPr>
          <w:b/>
          <w:bCs/>
        </w:rPr>
        <w:t xml:space="preserve">before the U.S. market opens on Tuesday, July 28, 2026</w:t>
      </w:r>
      <w:r>
        <w:t xml:space="preserve">—</w:t>
      </w:r>
      <w:r>
        <w:rPr>
          <w:b/>
          <w:bCs/>
        </w:rPr>
        <w:t xml:space="preserve">today</w:t>
      </w:r>
      <w:r>
        <w:t xml:space="preserve">, not tomorrow. The associated event is the</w:t>
      </w:r>
      <w:r>
        <w:t xml:space="preserve"> </w:t>
      </w:r>
      <w:r>
        <w:rPr>
          <w:b/>
          <w:bCs/>
        </w:rPr>
        <w:t xml:space="preserve">2026Q2 Earnings Call</w:t>
      </w:r>
      <w:r>
        <w:t xml:space="preserve">.</w:t>
      </w:r>
    </w:p>
    <w:bookmarkStart w:id="9" w:name="X1125d4601be160caead976dbfc63fd068b56c4a"/>
    <w:p>
      <w:pPr>
        <w:pStyle w:val="Heading2"/>
      </w:pPr>
      <w:r>
        <w:t xml:space="preserve">Investment view: execution and outlook matter more than a modest EPS beat</w:t>
      </w:r>
    </w:p>
    <w:p>
      <w:pPr>
        <w:pStyle w:val="FirstParagraph"/>
      </w:pPr>
      <w:r>
        <w:t xml:space="preserve">Coca-Cola enters 2Q with a strong operating backdrop, elevated expectations, and a new near-term disruption at fairlife. The setup is fundamentally constructive: management delivered a better-than-expected 1Q, reaffirmed/raised elements of its full-year framework, maintained volume growth across every operating segment, and continues to gain global nonalcoholic ready-to-drink beverage value share.</w:t>
      </w:r>
    </w:p>
    <w:p>
      <w:pPr>
        <w:pStyle w:val="BodyText"/>
      </w:pPr>
      <w:r>
        <w:t xml:space="preserve">However, KO stock closed at</w:t>
      </w:r>
      <w:r>
        <w:t xml:space="preserve"> </w:t>
      </w:r>
      <w:r>
        <w:rPr>
          <w:b/>
          <w:bCs/>
        </w:rPr>
        <w:t xml:space="preserve">$84.09 on July 27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20% year to date</w:t>
      </w:r>
      <w:r>
        <w:t xml:space="preserve"> </w:t>
      </w:r>
      <w:r>
        <w:t xml:space="preserve">from $69.91 at year-end 2025. With the shares already reflecting much of the company’s defensive growth and earnings resilience, investors will likely focus less on whether KO clears consensus and more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organic revenue growth remains consistent with the 4%–5% full-year target;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balance between volume and price/mix</w:t>
      </w:r>
      <w:r>
        <w:t xml:space="preserve">, particularly as affordability becomes more important;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Gross-margin recovery and cost commentary</w:t>
      </w:r>
      <w:r>
        <w:t xml:space="preserve">, especially around coffee, tea, packaging and energy;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 change to full-year EPS guidance</w:t>
      </w:r>
      <w:r>
        <w:t xml:space="preserve">;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financial and operational implications of the fairlife cyber incident</w:t>
      </w:r>
      <w:r>
        <w:t xml:space="preserve"> </w:t>
      </w:r>
      <w:r>
        <w:t xml:space="preserve">for 3Q and 4Q.</w:t>
      </w:r>
    </w:p>
    <w:bookmarkEnd w:id="9"/>
    <w:bookmarkStart w:id="10" w:name="street-setup"/>
    <w:p>
      <w:pPr>
        <w:pStyle w:val="Heading2"/>
      </w:pPr>
      <w:r>
        <w:t xml:space="preserve">Street setup</w:t>
      </w:r>
    </w:p>
    <w:p>
      <w:pPr>
        <w:pStyle w:val="FirstParagraph"/>
      </w:pPr>
      <w:r>
        <w:t xml:space="preserve">Current market expectations are for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$0.93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$13.2 billion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~3.5%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That setup is reasonable but leaves little room for a result driven solely by favorable FX or accounting items. Investors will want evidence that underlying demand—volume, mix, execution and share—is still strong enough to support the full-year algorithm.</w:t>
      </w:r>
    </w:p>
    <w:bookmarkEnd w:id="10"/>
    <w:bookmarkStart w:id="11" w:name="what-ko-established-in-1q"/>
    <w:p>
      <w:pPr>
        <w:pStyle w:val="Heading2"/>
      </w:pPr>
      <w:r>
        <w:t xml:space="preserve">What KO established in 1Q</w:t>
      </w:r>
    </w:p>
    <w:p>
      <w:pPr>
        <w:pStyle w:val="FirstParagraph"/>
      </w:pPr>
      <w:r>
        <w:t xml:space="preserve">Coca-Cola began 2026 with a notably strong quarter: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Organic revenue grew 10%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Unit case volume grew 3%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Comparable EPS rose 18% to $0.86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Comparable operating margin expanded 70 bps to 34.5%</w:t>
      </w:r>
    </w:p>
    <w:p>
      <w:pPr>
        <w:pStyle w:val="Compact"/>
        <w:numPr>
          <w:ilvl w:val="0"/>
          <w:numId w:val="1002"/>
        </w:numPr>
      </w:pPr>
      <w:r>
        <w:t xml:space="preserve">The company gained global value share for its</w:t>
      </w:r>
      <w:r>
        <w:t xml:space="preserve"> </w:t>
      </w:r>
      <w:r>
        <w:rPr>
          <w:b/>
          <w:bCs/>
        </w:rPr>
        <w:t xml:space="preserve">20th consecutive quarter</w:t>
      </w:r>
    </w:p>
    <w:p>
      <w:pPr>
        <w:pStyle w:val="Compact"/>
        <w:numPr>
          <w:ilvl w:val="0"/>
          <w:numId w:val="1002"/>
        </w:numPr>
      </w:pPr>
      <w:r>
        <w:t xml:space="preserve">North America volume grew</w:t>
      </w:r>
      <w:r>
        <w:t xml:space="preserve"> </w:t>
      </w:r>
      <w:r>
        <w:rPr>
          <w:b/>
          <w:bCs/>
        </w:rPr>
        <w:t xml:space="preserve">4%</w:t>
      </w:r>
      <w:r>
        <w:t xml:space="preserve">, while Asia Pacific volume rose</w:t>
      </w:r>
      <w:r>
        <w:t xml:space="preserve"> </w:t>
      </w:r>
      <w:r>
        <w:rPr>
          <w:b/>
          <w:bCs/>
        </w:rPr>
        <w:t xml:space="preserve">5%</w:t>
      </w:r>
    </w:p>
    <w:p>
      <w:pPr>
        <w:pStyle w:val="FirstParagraph"/>
      </w:pPr>
      <w:r>
        <w:t xml:space="preserve">The key nuance was that 1Q revenue was aided by six additional selling days and concentrate-shipment timing. Management explicitly said that, excluding those effects, organic growth was running in line with its full-year framework. For 2Q, it also cautioned that</w:t>
      </w:r>
      <w:r>
        <w:t xml:space="preserve"> </w:t>
      </w:r>
      <w:r>
        <w:rPr>
          <w:b/>
          <w:bCs/>
        </w:rPr>
        <w:t xml:space="preserve">concentrate sales should trail unit case volume by a couple of points</w:t>
      </w:r>
      <w:r>
        <w:t xml:space="preserve">, making reported revenue growth versus volume particularly important to interpret correctly.</w:t>
      </w:r>
    </w:p>
    <w:bookmarkEnd w:id="11"/>
    <w:bookmarkStart w:id="13" w:name="Xdd375e2553b90d6aa1a5fbf0fd7502045c1f016"/>
    <w:p>
      <w:pPr>
        <w:pStyle w:val="Heading2"/>
      </w:pPr>
      <w:r>
        <w:t xml:space="preserve">The core debate: can KO sustain balanced volume and price/mix growth?</w:t>
      </w:r>
    </w:p>
    <w:p>
      <w:pPr>
        <w:pStyle w:val="FirstParagraph"/>
      </w:pPr>
      <w:r>
        <w:t xml:space="preserve">The central positive of the 1Q report was that KO achieved growth through both volume and pricing rather than relying primarily on price realization. Management’s stated objective is a more balanced growth algorithm, broadly in the area of low-single-digit volume growth and low-single-digit price/mix.</w:t>
      </w:r>
    </w:p>
    <w:bookmarkStart w:id="12" w:name="why-that-matters"/>
    <w:p>
      <w:pPr>
        <w:pStyle w:val="Heading3"/>
      </w:pPr>
      <w:r>
        <w:t xml:space="preserve">Why that matters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Volume growth</w:t>
      </w:r>
      <w:r>
        <w:t xml:space="preserve"> </w:t>
      </w:r>
      <w:r>
        <w:t xml:space="preserve">validates consumer demand, distribution gains and innovation.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Price/mix growth</w:t>
      </w:r>
      <w:r>
        <w:t xml:space="preserve"> </w:t>
      </w:r>
      <w:r>
        <w:t xml:space="preserve">protects margins and offsets cost inflation.</w:t>
      </w:r>
    </w:p>
    <w:p>
      <w:pPr>
        <w:pStyle w:val="Compact"/>
        <w:numPr>
          <w:ilvl w:val="0"/>
          <w:numId w:val="1003"/>
        </w:numPr>
      </w:pPr>
      <w:r>
        <w:t xml:space="preserve">The risk is that affordability measures—especially in emerging markets—could support volume but dilute price/mix and margins.</w:t>
      </w:r>
    </w:p>
    <w:p>
      <w:pPr>
        <w:pStyle w:val="Compact"/>
        <w:numPr>
          <w:ilvl w:val="0"/>
          <w:numId w:val="1003"/>
        </w:numPr>
      </w:pPr>
      <w:r>
        <w:t xml:space="preserve">Conversely, heavier pricing to absorb cost pressures could test lower-income consumers and volume elasticity.</w:t>
      </w:r>
    </w:p>
    <w:p>
      <w:pPr>
        <w:pStyle w:val="FirstParagraph"/>
      </w:pPr>
      <w:r>
        <w:t xml:space="preserve">For 2Q, a result around</w:t>
      </w:r>
      <w:r>
        <w:t xml:space="preserve"> </w:t>
      </w:r>
      <w:r>
        <w:rPr>
          <w:b/>
          <w:bCs/>
        </w:rPr>
        <w:t xml:space="preserve">2%–3% unit case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positive low-single-digit price/mix</w:t>
      </w:r>
      <w:r>
        <w:t xml:space="preserve"> </w:t>
      </w:r>
      <w:r>
        <w:t xml:space="preserve">would reinforce the balanced algorithm. A weak price/mix result may be tolerable if it reflects deliberate affordability investments and healthy consumer recruitment, but only if management can demonstrate a credible path to margin recovery.</w:t>
      </w:r>
    </w:p>
    <w:bookmarkEnd w:id="12"/>
    <w:bookmarkEnd w:id="13"/>
    <w:bookmarkStart w:id="17" w:name="segment-watchlist"/>
    <w:p>
      <w:pPr>
        <w:pStyle w:val="Heading2"/>
      </w:pPr>
      <w:r>
        <w:t xml:space="preserve">Segment watchlist</w:t>
      </w:r>
    </w:p>
    <w:bookmarkStart w:id="14" w:name="X6ca823137b4c00096d792b46807e3f78bac2528"/>
    <w:p>
      <w:pPr>
        <w:pStyle w:val="Heading3"/>
      </w:pPr>
      <w:r>
        <w:t xml:space="preserve">North America: momentum is solid, but fairlife is now the swing factor</w:t>
      </w:r>
    </w:p>
    <w:p>
      <w:pPr>
        <w:pStyle w:val="FirstParagraph"/>
      </w:pPr>
      <w:r>
        <w:t xml:space="preserve">North America was a standout in 1Q, with: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4% volume growth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12% organic revenue growth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17% comparable currency-neutral operating-income growth</w:t>
      </w:r>
    </w:p>
    <w:p>
      <w:pPr>
        <w:pStyle w:val="FirstParagraph"/>
      </w:pPr>
      <w:r>
        <w:t xml:space="preserve">Growth was broad based across Trademark Coca-Cola, Fanta, BODYARMOR, Powerade, Dasani, smartwater and Minute Maid. Management also cited strong mini-can performance and World Cup-related activation as tailwinds for 2Q.</w:t>
      </w:r>
    </w:p>
    <w:p>
      <w:pPr>
        <w:pStyle w:val="BodyText"/>
      </w:pPr>
      <w:r>
        <w:t xml:space="preserve">The complication is</w:t>
      </w:r>
      <w:r>
        <w:t xml:space="preserve"> </w:t>
      </w:r>
      <w:r>
        <w:rPr>
          <w:b/>
          <w:bCs/>
        </w:rPr>
        <w:t xml:space="preserve">fairlife</w:t>
      </w:r>
      <w:r>
        <w:t xml:space="preserve">. U.S. production was temporarily suspended following a ransomware incident disclosed in mid-July. Coca-Cola announced on July 27 that the majority of production at its four U.S. fairlife facilities had resumed.</w:t>
      </w:r>
    </w:p>
    <w:p>
      <w:pPr>
        <w:pStyle w:val="BodyText"/>
      </w:pPr>
      <w:r>
        <w:rPr>
          <w:b/>
          <w:bCs/>
        </w:rPr>
        <w:t xml:space="preserve">Investor implication:</w:t>
      </w:r>
      <w:r>
        <w:t xml:space="preserve"> </w:t>
      </w:r>
      <w:r>
        <w:t xml:space="preserve">the incident should have limited direct effect on 2Q reported results because it occurred after quarter-end, but it is a potentially material</w:t>
      </w:r>
      <w:r>
        <w:t xml:space="preserve"> </w:t>
      </w:r>
      <w:r>
        <w:rPr>
          <w:b/>
          <w:bCs/>
        </w:rPr>
        <w:t xml:space="preserve">second-half</w:t>
      </w:r>
      <w:r>
        <w:t xml:space="preserve"> </w:t>
      </w:r>
      <w:r>
        <w:t xml:space="preserve">issue. The call should clarify:</w:t>
      </w:r>
    </w:p>
    <w:p>
      <w:pPr>
        <w:pStyle w:val="Compact"/>
        <w:numPr>
          <w:ilvl w:val="0"/>
          <w:numId w:val="1005"/>
        </w:numPr>
      </w:pPr>
      <w:r>
        <w:t xml:space="preserve">The duration and extent of lost production;</w:t>
      </w:r>
    </w:p>
    <w:p>
      <w:pPr>
        <w:pStyle w:val="Compact"/>
        <w:numPr>
          <w:ilvl w:val="0"/>
          <w:numId w:val="1005"/>
        </w:numPr>
      </w:pPr>
      <w:r>
        <w:t xml:space="preserve">Inventory availability and customer-service levels;</w:t>
      </w:r>
    </w:p>
    <w:p>
      <w:pPr>
        <w:pStyle w:val="Compact"/>
        <w:numPr>
          <w:ilvl w:val="0"/>
          <w:numId w:val="1005"/>
        </w:numPr>
      </w:pPr>
      <w:r>
        <w:t xml:space="preserve">Whether insurance may offset costs;</w:t>
      </w:r>
    </w:p>
    <w:p>
      <w:pPr>
        <w:pStyle w:val="Compact"/>
        <w:numPr>
          <w:ilvl w:val="0"/>
          <w:numId w:val="1005"/>
        </w:numPr>
      </w:pPr>
      <w:r>
        <w:t xml:space="preserve">The expected effect on 3Q/4Q revenue and profit; and</w:t>
      </w:r>
    </w:p>
    <w:p>
      <w:pPr>
        <w:pStyle w:val="Compact"/>
        <w:numPr>
          <w:ilvl w:val="0"/>
          <w:numId w:val="1005"/>
        </w:numPr>
      </w:pPr>
      <w:r>
        <w:t xml:space="preserve">Whether fairlife’s capacity expansion timetable remains intact.</w:t>
      </w:r>
    </w:p>
    <w:p>
      <w:pPr>
        <w:pStyle w:val="FirstParagraph"/>
      </w:pPr>
      <w:r>
        <w:t xml:space="preserve">Given fairlife’s scale and growth profile, even a temporary disruption could matter disproportionately to investors’ confidence in North American growth.</w:t>
      </w:r>
    </w:p>
    <w:bookmarkEnd w:id="14"/>
    <w:bookmarkStart w:id="15" w:name="X01ec4a0242fb86fb16761fc81265933954696bb"/>
    <w:p>
      <w:pPr>
        <w:pStyle w:val="Heading3"/>
      </w:pPr>
      <w:r>
        <w:t xml:space="preserve">Asia Pacific: volume is encouraging; profitability requires confirmation</w:t>
      </w:r>
    </w:p>
    <w:p>
      <w:pPr>
        <w:pStyle w:val="FirstParagraph"/>
      </w:pPr>
      <w:r>
        <w:t xml:space="preserve">Asia Pacific posted</w:t>
      </w:r>
      <w:r>
        <w:t xml:space="preserve"> </w:t>
      </w:r>
      <w:r>
        <w:rPr>
          <w:b/>
          <w:bCs/>
        </w:rPr>
        <w:t xml:space="preserve">5% volume growth</w:t>
      </w:r>
      <w:r>
        <w:t xml:space="preserve"> </w:t>
      </w:r>
      <w:r>
        <w:t xml:space="preserve">in 1Q, but price/mix fell</w:t>
      </w:r>
      <w:r>
        <w:t xml:space="preserve"> </w:t>
      </w:r>
      <w:r>
        <w:rPr>
          <w:b/>
          <w:bCs/>
        </w:rPr>
        <w:t xml:space="preserve">6%</w:t>
      </w:r>
      <w:r>
        <w:t xml:space="preserve"> </w:t>
      </w:r>
      <w:r>
        <w:t xml:space="preserve">and comparable currency-neutral operating income declined</w:t>
      </w:r>
      <w:r>
        <w:t xml:space="preserve"> </w:t>
      </w:r>
      <w:r>
        <w:rPr>
          <w:b/>
          <w:bCs/>
        </w:rPr>
        <w:t xml:space="preserve">17%</w:t>
      </w:r>
      <w:r>
        <w:t xml:space="preserve">. Management attributed the weakness to affordability initiatives, geographic mix, commodity pressure in tea and coffee, and the phasing of inventory costs—especially in China.</w:t>
      </w:r>
    </w:p>
    <w:p>
      <w:pPr>
        <w:pStyle w:val="BodyText"/>
      </w:pPr>
      <w:r>
        <w:t xml:space="preserve">The 2Q report needs to show that 1Q’s margin pressure was largely temporary. Key questions:</w:t>
      </w:r>
    </w:p>
    <w:p>
      <w:pPr>
        <w:pStyle w:val="Compact"/>
        <w:numPr>
          <w:ilvl w:val="0"/>
          <w:numId w:val="1006"/>
        </w:numPr>
      </w:pPr>
      <w:r>
        <w:t xml:space="preserve">Did the China inventory-cost issue unwind as expected?</w:t>
      </w:r>
    </w:p>
    <w:p>
      <w:pPr>
        <w:pStyle w:val="Compact"/>
        <w:numPr>
          <w:ilvl w:val="0"/>
          <w:numId w:val="1006"/>
        </w:numPr>
      </w:pPr>
      <w:r>
        <w:t xml:space="preserve">Are tea and coffee costs still rising, stabilizing, or easing?</w:t>
      </w:r>
    </w:p>
    <w:p>
      <w:pPr>
        <w:pStyle w:val="Compact"/>
        <w:numPr>
          <w:ilvl w:val="0"/>
          <w:numId w:val="1006"/>
        </w:numPr>
      </w:pPr>
      <w:r>
        <w:t xml:space="preserve">Can KO maintain volume growth in China and India while improving regional price/mix?</w:t>
      </w:r>
    </w:p>
    <w:p>
      <w:pPr>
        <w:pStyle w:val="Compact"/>
        <w:numPr>
          <w:ilvl w:val="0"/>
          <w:numId w:val="1006"/>
        </w:numPr>
      </w:pPr>
      <w:r>
        <w:t xml:space="preserve">Is value share recovering in India and Vietnam, where 1Q performance lagged some other markets?</w:t>
      </w:r>
    </w:p>
    <w:p>
      <w:pPr>
        <w:pStyle w:val="FirstParagraph"/>
      </w:pPr>
      <w:r>
        <w:t xml:space="preserve">This is likely the most important incremental margin debate in the report.</w:t>
      </w:r>
    </w:p>
    <w:bookmarkEnd w:id="15"/>
    <w:bookmarkStart w:id="16" w:name="X3cd9c0e30590c44a2dcf1d585dddac0f44fc5f6"/>
    <w:p>
      <w:pPr>
        <w:pStyle w:val="Heading3"/>
      </w:pPr>
      <w:r>
        <w:t xml:space="preserve">EMEA and Latin America: geopolitics, inflation and affordability</w:t>
      </w:r>
    </w:p>
    <w:p>
      <w:pPr>
        <w:pStyle w:val="FirstParagraph"/>
      </w:pPr>
      <w:r>
        <w:t xml:space="preserve">KO’s global footprint remains an advantage, but it also creates exposure to a volatile cost and consumer environment.</w:t>
      </w:r>
    </w:p>
    <w:p>
      <w:pPr>
        <w:pStyle w:val="Compact"/>
        <w:numPr>
          <w:ilvl w:val="0"/>
          <w:numId w:val="1007"/>
        </w:numPr>
      </w:pPr>
      <w:r>
        <w:t xml:space="preserve">In</w:t>
      </w:r>
      <w:r>
        <w:t xml:space="preserve"> </w:t>
      </w:r>
      <w:r>
        <w:rPr>
          <w:b/>
          <w:bCs/>
        </w:rPr>
        <w:t xml:space="preserve">EMEA</w:t>
      </w:r>
      <w:r>
        <w:t xml:space="preserve">, 1Q volume grew 2%, but management noted that volume turned negative in March in parts of Eurasia and the Middle East after the regional conflict began.</w:t>
      </w:r>
    </w:p>
    <w:p>
      <w:pPr>
        <w:pStyle w:val="Compact"/>
        <w:numPr>
          <w:ilvl w:val="0"/>
          <w:numId w:val="1007"/>
        </w:numPr>
      </w:pPr>
      <w:r>
        <w:t xml:space="preserve">In</w:t>
      </w:r>
      <w:r>
        <w:t xml:space="preserve"> </w:t>
      </w:r>
      <w:r>
        <w:rPr>
          <w:b/>
          <w:bCs/>
        </w:rPr>
        <w:t xml:space="preserve">Latin America</w:t>
      </w:r>
      <w:r>
        <w:t xml:space="preserve">, 1Q volume grew 1%; Brazil and Central America offset declines in Mexico and Argentina.</w:t>
      </w:r>
    </w:p>
    <w:p>
      <w:pPr>
        <w:pStyle w:val="Compact"/>
        <w:numPr>
          <w:ilvl w:val="0"/>
          <w:numId w:val="1007"/>
        </w:numPr>
      </w:pPr>
      <w:r>
        <w:t xml:space="preserve">Mexico’s sugar-tax dynamics and weaker affordability continue to be a headwind to regional mix.</w:t>
      </w:r>
    </w:p>
    <w:p>
      <w:pPr>
        <w:pStyle w:val="FirstParagraph"/>
      </w:pPr>
      <w:r>
        <w:t xml:space="preserve">The July environment has added fresh pressure: higher energy and packaging costs, logistics disruption and inflation-sensitive consumers. Coca-Cola recently raised Diet Coke pricing in India after supply disruptions increased aluminum-can costs.</w:t>
      </w:r>
    </w:p>
    <w:p>
      <w:pPr>
        <w:pStyle w:val="BodyText"/>
      </w:pPr>
      <w:r>
        <w:t xml:space="preserve">The most constructive outcome would be continued positive volume and share gains, paired with commentary that revenue-growth-management actions and local packaging strategies are sufficiently offsetting cost pressure.</w:t>
      </w:r>
    </w:p>
    <w:bookmarkEnd w:id="16"/>
    <w:bookmarkEnd w:id="17"/>
    <w:bookmarkStart w:id="20" w:name="X36434e6e1a99f135382460ab92ec4a7b1277d53"/>
    <w:p>
      <w:pPr>
        <w:pStyle w:val="Heading2"/>
      </w:pPr>
      <w:r>
        <w:t xml:space="preserve">Margins and guidance: the key financial test</w:t>
      </w:r>
    </w:p>
    <w:p>
      <w:pPr>
        <w:pStyle w:val="FirstParagraph"/>
      </w:pPr>
      <w:r>
        <w:t xml:space="preserve">KO’s full-year 2026 outlook currently calls for: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Organic revenue growth of 4%–5%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Comparable currency-neutral EPS growth, excluding acquisitions/divestitures, of 6%–7%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Comparable EPS growth of 8%–9%</w:t>
      </w:r>
      <w:r>
        <w:t xml:space="preserve">, versus $3.00 in 2025</w:t>
      </w:r>
    </w:p>
    <w:p>
      <w:pPr>
        <w:pStyle w:val="Compact"/>
        <w:numPr>
          <w:ilvl w:val="0"/>
          <w:numId w:val="1008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$12.2 billion of free cash flow</w:t>
      </w:r>
    </w:p>
    <w:p>
      <w:pPr>
        <w:pStyle w:val="FirstParagraph"/>
      </w:pPr>
      <w:r>
        <w:t xml:space="preserve">For 2Q, management previously expected:</w:t>
      </w:r>
    </w:p>
    <w:p>
      <w:pPr>
        <w:pStyle w:val="Compact"/>
        <w:numPr>
          <w:ilvl w:val="0"/>
          <w:numId w:val="1009"/>
        </w:numPr>
      </w:pPr>
      <w:r>
        <w:t xml:space="preserve">Roughly a</w:t>
      </w:r>
      <w:r>
        <w:t xml:space="preserve"> </w:t>
      </w:r>
      <w:r>
        <w:rPr>
          <w:b/>
          <w:bCs/>
        </w:rPr>
        <w:t xml:space="preserve">1% FX tailwind</w:t>
      </w:r>
      <w:r>
        <w:t xml:space="preserve"> </w:t>
      </w:r>
      <w:r>
        <w:t xml:space="preserve">to comparable net revenue;</w:t>
      </w:r>
    </w:p>
    <w:p>
      <w:pPr>
        <w:pStyle w:val="Compact"/>
        <w:numPr>
          <w:ilvl w:val="0"/>
          <w:numId w:val="1009"/>
        </w:numPr>
      </w:pPr>
      <w:r>
        <w:t xml:space="preserve">Roughly a</w:t>
      </w:r>
      <w:r>
        <w:t xml:space="preserve"> </w:t>
      </w:r>
      <w:r>
        <w:rPr>
          <w:b/>
          <w:bCs/>
        </w:rPr>
        <w:t xml:space="preserve">1% acquisition/divestiture headwind</w:t>
      </w:r>
      <w:r>
        <w:t xml:space="preserve"> </w:t>
      </w:r>
      <w:r>
        <w:t xml:space="preserve">to comparable net revenue;</w:t>
      </w:r>
    </w:p>
    <w:p>
      <w:pPr>
        <w:pStyle w:val="Compact"/>
        <w:numPr>
          <w:ilvl w:val="0"/>
          <w:numId w:val="1009"/>
        </w:numPr>
      </w:pPr>
      <w:r>
        <w:t xml:space="preserve">Roughly a</w:t>
      </w:r>
      <w:r>
        <w:t xml:space="preserve"> </w:t>
      </w:r>
      <w:r>
        <w:rPr>
          <w:b/>
          <w:bCs/>
        </w:rPr>
        <w:t xml:space="preserve">3% FX tailwind</w:t>
      </w:r>
      <w:r>
        <w:t xml:space="preserve"> </w:t>
      </w:r>
      <w:r>
        <w:t xml:space="preserve">to comparable EPS; and</w:t>
      </w:r>
    </w:p>
    <w:p>
      <w:pPr>
        <w:pStyle w:val="Compact"/>
        <w:numPr>
          <w:ilvl w:val="0"/>
          <w:numId w:val="1009"/>
        </w:numPr>
      </w:pPr>
      <w:r>
        <w:t xml:space="preserve">Roughly a</w:t>
      </w:r>
      <w:r>
        <w:t xml:space="preserve"> </w:t>
      </w:r>
      <w:r>
        <w:rPr>
          <w:b/>
          <w:bCs/>
        </w:rPr>
        <w:t xml:space="preserve">1% acquisition/divestiture EPS headwind</w:t>
      </w:r>
      <w:r>
        <w:t xml:space="preserve">.</w:t>
      </w:r>
    </w:p>
    <w:p>
      <w:pPr>
        <w:pStyle w:val="FirstParagraph"/>
      </w:pPr>
      <w:r>
        <w:t xml:space="preserve">The full-year outlook assumes the pending sale of Coca-Cola Beverages Africa closes in the second half of 2026. Because CCBA is a lower-margin bottling business, its sale would mechanically benefit reported margin mix after closing, but it also reduces revenue and EPS growth through divestiture headwinds.</w:t>
      </w:r>
    </w:p>
    <w:bookmarkStart w:id="18" w:name="what-would-be-reassuring"/>
    <w:p>
      <w:pPr>
        <w:pStyle w:val="Heading3"/>
      </w:pPr>
      <w:r>
        <w:t xml:space="preserve">What would be reassuring</w:t>
      </w:r>
    </w:p>
    <w:p>
      <w:pPr>
        <w:pStyle w:val="Compact"/>
        <w:numPr>
          <w:ilvl w:val="0"/>
          <w:numId w:val="1010"/>
        </w:numPr>
      </w:pPr>
      <w:r>
        <w:t xml:space="preserve">Reaffirmation of the 4%–5% organic-revenue and 8%–9% comparable-EPS targets;</w:t>
      </w:r>
    </w:p>
    <w:p>
      <w:pPr>
        <w:pStyle w:val="Compact"/>
        <w:numPr>
          <w:ilvl w:val="0"/>
          <w:numId w:val="1010"/>
        </w:numPr>
      </w:pPr>
      <w:r>
        <w:t xml:space="preserve">Evidence that 1Q Asia Pacific gross-margin pressure was unusual rather than structural;</w:t>
      </w:r>
    </w:p>
    <w:p>
      <w:pPr>
        <w:pStyle w:val="Compact"/>
        <w:numPr>
          <w:ilvl w:val="0"/>
          <w:numId w:val="1010"/>
        </w:numPr>
      </w:pPr>
      <w:r>
        <w:t xml:space="preserve">Confirmation that commodity and packaging cost inflation remains manageable;</w:t>
      </w:r>
    </w:p>
    <w:p>
      <w:pPr>
        <w:pStyle w:val="Compact"/>
        <w:numPr>
          <w:ilvl w:val="0"/>
          <w:numId w:val="1010"/>
        </w:numPr>
      </w:pPr>
      <w:r>
        <w:t xml:space="preserve">No material reduction in free-cash-flow expectations; and</w:t>
      </w:r>
    </w:p>
    <w:p>
      <w:pPr>
        <w:pStyle w:val="Compact"/>
        <w:numPr>
          <w:ilvl w:val="0"/>
          <w:numId w:val="1010"/>
        </w:numPr>
      </w:pPr>
      <w:r>
        <w:t xml:space="preserve">Specific, bounded fairlife disruption commentary.</w:t>
      </w:r>
    </w:p>
    <w:bookmarkEnd w:id="18"/>
    <w:bookmarkStart w:id="19" w:name="what-could-disappoint"/>
    <w:p>
      <w:pPr>
        <w:pStyle w:val="Heading3"/>
      </w:pPr>
      <w:r>
        <w:t xml:space="preserve">What could disappoint</w:t>
      </w:r>
    </w:p>
    <w:p>
      <w:pPr>
        <w:pStyle w:val="Compact"/>
        <w:numPr>
          <w:ilvl w:val="0"/>
          <w:numId w:val="1011"/>
        </w:numPr>
      </w:pPr>
      <w:r>
        <w:t xml:space="preserve">A guide reduction, particularly if linked to fairlife, commodity inflation or geopolitical disruption;</w:t>
      </w:r>
    </w:p>
    <w:p>
      <w:pPr>
        <w:pStyle w:val="Compact"/>
        <w:numPr>
          <w:ilvl w:val="0"/>
          <w:numId w:val="1011"/>
        </w:numPr>
      </w:pPr>
      <w:r>
        <w:t xml:space="preserve">Organic growth below expectations due to weaker volume or deteriorating price/mix;</w:t>
      </w:r>
    </w:p>
    <w:p>
      <w:pPr>
        <w:pStyle w:val="Compact"/>
        <w:numPr>
          <w:ilvl w:val="0"/>
          <w:numId w:val="1011"/>
        </w:numPr>
      </w:pPr>
      <w:r>
        <w:t xml:space="preserve">Incremental deterioration in Asia Pacific profitability;</w:t>
      </w:r>
    </w:p>
    <w:p>
      <w:pPr>
        <w:pStyle w:val="Compact"/>
        <w:numPr>
          <w:ilvl w:val="0"/>
          <w:numId w:val="1011"/>
        </w:numPr>
      </w:pPr>
      <w:r>
        <w:t xml:space="preserve">A more meaningful-than-expected impact from Middle East disruption or Indian aluminum-can costs; or</w:t>
      </w:r>
    </w:p>
    <w:p>
      <w:pPr>
        <w:pStyle w:val="Compact"/>
        <w:numPr>
          <w:ilvl w:val="0"/>
          <w:numId w:val="1011"/>
        </w:numPr>
      </w:pPr>
      <w:r>
        <w:t xml:space="preserve">A less favorable outlook for the timing or economics of the CCBA divestiture.</w:t>
      </w:r>
    </w:p>
    <w:bookmarkEnd w:id="19"/>
    <w:bookmarkEnd w:id="20"/>
    <w:bookmarkStart w:id="21" w:name="X092e2a6b3582f9d684124e607a7f75c52daf26c"/>
    <w:p>
      <w:pPr>
        <w:pStyle w:val="Heading2"/>
      </w:pPr>
      <w:r>
        <w:t xml:space="preserve">Questions investors should expect on the call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much 2Q organic growth came from volume versus price/mix, and how should investors model the balance in 2H?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Did Asia Pacific’s 1Q inventory and commodity pressures improve as expected?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is the estimated fairlife impact on production, revenue, costs and 2H guidance?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Are aluminum, PET, energy, coffee and tea costs still “manageable” under the company’s current playbook?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are consumer affordability pressures affecting package architecture and promotional intensity across emerging markets?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Is the CCBA transaction still expected to close in 2H26, and what does that imply for revenue, EPS and margins?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Can North America sustain positive volume after the benefit from easier comparisons and the World Cup activation cycle?</w:t>
      </w:r>
    </w:p>
    <w:bookmarkEnd w:id="21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KO’s 2Q report is a test of whether a strong 1Q represented durable broad-based momentum or the high point of a favorable quarterly setup. The company has multiple advantages heading into the print: global scale, strong brand equity, broad distribution, a favorable FX setup for EPS, share gains, and a demonstrated ability to manage price-pack architecture locally.</w:t>
      </w:r>
    </w:p>
    <w:p>
      <w:pPr>
        <w:pStyle w:val="BodyText"/>
      </w:pPr>
      <w:r>
        <w:t xml:space="preserve">The two issues that matter most are</w:t>
      </w:r>
      <w:r>
        <w:t xml:space="preserve"> </w:t>
      </w:r>
      <w:r>
        <w:rPr>
          <w:b/>
          <w:bCs/>
        </w:rPr>
        <w:t xml:space="preserve">the durability of balanced volume/price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whether fairlife, input costs and geopolitical disruptions force a more cautious second-half outlook</w:t>
      </w:r>
      <w:r>
        <w:t xml:space="preserve">. A clean beat with unchanged guidance should reinforce KO’s defensive-growth premium. In contrast, even a modest guidance reset—or vague commentary on fairlife—could matter more to the stock than the headline 2Q EPS result.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2026-07-28T00:21:24Z</dcterms:created>
  <dcterms:modified xsi:type="dcterms:W3CDTF">2026-07-28T00:21:24Z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