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ko-earnings-predictions--2026-07-28"/>
    <w:p>
      <w:pPr>
        <w:pStyle w:val="Heading1"/>
      </w:pPr>
      <w:r>
        <w:t xml:space="preserve">KO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KO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Comparable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~$0.95 vs. cons $0.933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KO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Revenue Growth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~4.0% vs. cons 3.49%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Volume Growth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~1.2% vs. cons 0.74%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Comparable EPS Growth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~8-9% ($3.255 mid) vs. cons $3.268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Organic Revenue Growth (FY2026)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~4-5% (4.5% mid) vs. cons 4.86%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Fairlife/Webster Ramp (qualitative)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Confirm ramp on track; positive H2 signal vs. no prior explicit confirmation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KO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-2.5% (FADE)</w:t>
            </w:r>
          </w:p>
        </w:tc>
        <w:tc>
          <w:tcPr/>
          <w:p>
            <w:pPr>
              <w:pStyle w:val="Compact"/>
            </w:pPr>
            <w:r>
              <w:t xml:space="preserve">FADE - H2 implicit cuts flow through estimates as models reset to guidance midpoints below current consensus; fairlife confirmation is a partial offset but insufficient to reverse direction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2026-07-30T17:42:23Z</dcterms:created>
  <dcterms:modified xsi:type="dcterms:W3CDTF">2026-07-30T17:42:23Z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