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The Coca-Cola Company (KO) — Q2 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Company</w:t>
            </w:r>
          </w:p>
        </w:tc>
        <w:tc>
          <w:tcPr>
            <w:tcW w:type="dxa" w:w="2160"/>
          </w:tcPr>
          <w:p>
            <w:r>
              <w:rPr>
                <w:rFonts w:ascii="Calibri" w:hAnsi="Calibri"/>
                <w:sz w:val="22"/>
              </w:rPr>
              <w:t>The Coca-Cola Company</w:t>
            </w:r>
          </w:p>
        </w:tc>
        <w:tc>
          <w:tcPr>
            <w:tcW w:type="dxa" w:w="2160"/>
          </w:tcPr>
          <w:p>
            <w:r>
              <w:rPr>
                <w:rFonts w:ascii="Calibri" w:hAnsi="Calibri"/>
                <w:b/>
                <w:sz w:val="22"/>
              </w:rPr>
              <w:t>Ticker</w:t>
            </w:r>
          </w:p>
        </w:tc>
        <w:tc>
          <w:tcPr>
            <w:tcW w:type="dxa" w:w="2160"/>
          </w:tcPr>
          <w:p>
            <w:r>
              <w:rPr>
                <w:rFonts w:ascii="Calibri" w:hAnsi="Calibri"/>
                <w:sz w:val="22"/>
              </w:rPr>
              <w:t>KO</w:t>
            </w:r>
          </w:p>
        </w:tc>
      </w:tr>
      <w:tr>
        <w:tc>
          <w:tcPr>
            <w:tcW w:type="dxa" w:w="2160"/>
          </w:tcPr>
          <w:p>
            <w:r>
              <w:rPr>
                <w:rFonts w:ascii="Calibri" w:hAnsi="Calibri"/>
                <w:b/>
                <w:sz w:val="22"/>
              </w:rPr>
              <w:t>Upcoming Earnings Date</w:t>
            </w:r>
          </w:p>
        </w:tc>
        <w:tc>
          <w:tcPr>
            <w:tcW w:type="dxa" w:w="2160"/>
          </w:tcPr>
          <w:p>
            <w:r>
              <w:rPr>
                <w:rFonts w:ascii="Calibri" w:hAnsi="Calibri"/>
                <w:sz w:val="22"/>
              </w:rPr>
              <w:t>~July 29, 2026 (Q2 2026)</w:t>
            </w:r>
          </w:p>
        </w:tc>
        <w:tc>
          <w:tcPr>
            <w:tcW w:type="dxa" w:w="2160"/>
          </w:tcPr>
          <w:p>
            <w:r>
              <w:rPr>
                <w:rFonts w:ascii="Calibri" w:hAnsi="Calibri"/>
                <w:b/>
                <w:sz w:val="22"/>
              </w:rPr>
              <w:t>Prepared Date</w:t>
            </w:r>
          </w:p>
        </w:tc>
        <w:tc>
          <w:tcPr>
            <w:tcW w:type="dxa" w:w="2160"/>
          </w:tcPr>
          <w:p>
            <w:r>
              <w:rPr>
                <w:rFonts w:ascii="Calibri" w:hAnsi="Calibri"/>
                <w:sz w:val="22"/>
              </w:rPr>
              <w:t>July 27, 2026</w:t>
            </w:r>
          </w:p>
        </w:tc>
      </w:tr>
      <w:tr>
        <w:tc>
          <w:tcPr>
            <w:tcW w:type="dxa" w:w="2160"/>
          </w:tcPr>
          <w:p>
            <w:r>
              <w:rPr>
                <w:rFonts w:ascii="Calibri" w:hAnsi="Calibri"/>
                <w:b/>
                <w:sz w:val="22"/>
              </w:rPr>
              <w:t>Last Earnings</w:t>
            </w:r>
          </w:p>
        </w:tc>
        <w:tc>
          <w:tcPr>
            <w:tcW w:type="dxa" w:w="2160"/>
          </w:tcPr>
          <w:p>
            <w:r>
              <w:rPr>
                <w:rFonts w:ascii="Calibri" w:hAnsi="Calibri"/>
                <w:sz w:val="22"/>
              </w:rPr>
              <w:t>April 28, 2026 (Q1 2026)</w:t>
            </w:r>
          </w:p>
        </w:tc>
        <w:tc>
          <w:tcPr>
            <w:tcW w:type="dxa" w:w="2160"/>
          </w:tcPr>
          <w:p>
            <w:r>
              <w:rPr>
                <w:rFonts w:ascii="Calibri" w:hAnsi="Calibri"/>
                <w:b/>
                <w:sz w:val="22"/>
              </w:rPr>
              <w:t>Sector ETF Benchmark</w:t>
            </w:r>
          </w:p>
        </w:tc>
        <w:tc>
          <w:tcPr>
            <w:tcW w:type="dxa" w:w="2160"/>
          </w:tcPr>
          <w:p>
            <w:r>
              <w:rPr>
                <w:rFonts w:ascii="Calibri" w:hAnsi="Calibri"/>
                <w:sz w:val="22"/>
              </w:rPr>
              <w:t>XLP (Consumer Staples Select Sector SPDR)</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is constructive but not a slam-dunk — consensus is a manageable bar on organic revenue (~3.5% vs. KO's 4–5% FY guide) and EPS ($0.93), but the biggest swing factor is whether Q2 volume holds up amid a softening consumer backdrop flagged by peers and the absence of the Q1 calendar tailwind.</w:t>
      </w:r>
    </w:p>
    <w:p>
      <w:r>
        <w:rPr>
          <w:rFonts w:ascii="Calibri" w:hAnsi="Calibri"/>
          <w:b/>
          <w:color w:val="525866"/>
          <w:sz w:val="22"/>
        </w:rPr>
        <w:t xml:space="preserve">Heading into Q2 2026, the bar looks achievable but not easy. </w:t>
      </w:r>
      <w:r>
        <w:rPr>
          <w:rFonts w:ascii="Calibri" w:hAnsi="Calibri"/>
          <w:color w:val="525866"/>
          <w:sz w:val="22"/>
        </w:rPr>
        <w:t xml:space="preserve">Consensus sits at $0.93 comparable EPS and ~$13.1B in net revenues, implying roughly 7% EPS growth year-over-year — well within KO's raised FY2026 guidance of 8–9% comparable EPS growth, leaving room for a modest beat if execution holds. Management's tone coming out of Q1 was notably confident: FY organic revenue guidance was maintained at 4–5%, EPS guidance was raised (driven by a 1-point tax rate reduction to 19.9%), and the volume/price-mix algorithm was described as playing out as planned. Estimate revisions since the Q1 print have been essentially flat — EPS consensus moved from $0.931 to $0.933 and revenue from $13.11B to $13.13B — suggesting the Street has largely digested the Q1 beat without chasing numbers higher, which is a healthy setup. The stock has outperformed since Q1 earnings (KO +7.3% vs. XLP +2.7% and SPY +3.8% indexed), meaning some beat is already priced in, though KO's defensive characteristics and the FIFA World Cup activation cycle provide a credible fundamental catalyst. The key wildcard is the </w:t>
      </w:r>
      <w:r>
        <w:rPr>
          <w:rFonts w:ascii="Calibri" w:hAnsi="Calibri"/>
          <w:b/>
          <w:color w:val="525866"/>
          <w:sz w:val="22"/>
        </w:rPr>
        <w:t>North America leadership vacuum</w:t>
      </w:r>
      <w:r>
        <w:rPr>
          <w:rFonts w:ascii="Calibri" w:hAnsi="Calibri"/>
          <w:color w:val="525866"/>
          <w:sz w:val="22"/>
        </w:rPr>
        <w:t xml:space="preserve"> — CFO John Murphy assumed interim responsibility for the NA Operating Unit after Jennifer Mann's June 25 departure announcement, adding execution uncertainty to KO's largest and most complex segment precisely as the summer selling season peaks.</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manageable bar — organic revenue growth of ~3.5% sits below the low end of KO's 4–5% FY guide, implying the Street is not pricing in a full-algorithm quarter. </w:t>
      </w:r>
      <w:r>
        <w:rPr>
          <w:rFonts w:ascii="Calibri" w:hAnsi="Calibri"/>
          <w:color w:val="525866"/>
          <w:sz w:val="22"/>
        </w:rPr>
        <w:t>Volume growth (consensus ~0.7% for Q2) is the bigger swing factor given the Q1 calendar tailwind reversal and peer commentary pointing to a more dynamic consumer environment in April–May.</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 (Last Quarter)</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 (Est. vs. PY)</w:t>
            </w:r>
          </w:p>
        </w:tc>
        <w:tc>
          <w:tcPr>
            <w:tcW w:type="dxa" w:w="1234"/>
            <w:shd w:val="clear" w:color="auto" w:fill="3B4259"/>
          </w:tcPr>
          <w:p>
            <w:r>
              <w:rPr>
                <w:rFonts w:ascii="Calibri" w:hAnsi="Calibri"/>
                <w:b/>
                <w:color w:val="FFFFFF"/>
                <w:sz w:val="22"/>
              </w:rPr>
              <w:t>FY2026 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Net Operating Revenues ($B)</w:t>
            </w:r>
          </w:p>
        </w:tc>
        <w:tc>
          <w:tcPr>
            <w:tcW w:type="dxa" w:w="1234"/>
          </w:tcPr>
          <w:p>
            <w:r>
              <w:rPr>
                <w:rFonts w:ascii="Calibri" w:hAnsi="Calibri"/>
                <w:sz w:val="22"/>
              </w:rPr>
              <w:t>$12.47B</w:t>
            </w:r>
          </w:p>
        </w:tc>
        <w:tc>
          <w:tcPr>
            <w:tcW w:type="dxa" w:w="1234"/>
          </w:tcPr>
          <w:p>
            <w:r>
              <w:rPr>
                <w:rFonts w:ascii="Calibri" w:hAnsi="Calibri"/>
                <w:sz w:val="22"/>
              </w:rPr>
              <w:t>$12.62B</w:t>
            </w:r>
          </w:p>
        </w:tc>
        <w:tc>
          <w:tcPr>
            <w:tcW w:type="dxa" w:w="1234"/>
          </w:tcPr>
          <w:p>
            <w:r>
              <w:rPr>
                <w:rFonts w:ascii="Calibri" w:hAnsi="Calibri"/>
                <w:sz w:val="22"/>
              </w:rPr>
              <w:t>$13.13B</w:t>
            </w:r>
          </w:p>
        </w:tc>
        <w:tc>
          <w:tcPr>
            <w:tcW w:type="dxa" w:w="1234"/>
          </w:tcPr>
          <w:p>
            <w:r>
              <w:rPr>
                <w:rFonts w:ascii="Calibri" w:hAnsi="Calibri"/>
                <w:sz w:val="22"/>
              </w:rPr>
              <w:t>+4.0%</w:t>
            </w:r>
          </w:p>
        </w:tc>
        <w:tc>
          <w:tcPr>
            <w:tcW w:type="dxa" w:w="1234"/>
          </w:tcPr>
          <w:p>
            <w:r>
              <w:rPr>
                <w:rFonts w:ascii="Calibri" w:hAnsi="Calibri"/>
                <w:sz w:val="22"/>
              </w:rPr>
              <w:t>~$48.9–49.5B (FY)</w:t>
            </w:r>
          </w:p>
        </w:tc>
        <w:tc>
          <w:tcPr>
            <w:tcW w:type="dxa" w:w="1234"/>
          </w:tcPr>
          <w:p>
            <w:r>
              <w:rPr>
                <w:rFonts w:ascii="Calibri" w:hAnsi="Calibri"/>
                <w:sz w:val="22"/>
              </w:rPr>
              <w:t>In line with FY run-rate</w:t>
            </w:r>
          </w:p>
        </w:tc>
      </w:tr>
      <w:tr>
        <w:tc>
          <w:tcPr>
            <w:tcW w:type="dxa" w:w="1234"/>
          </w:tcPr>
          <w:p>
            <w:r>
              <w:rPr>
                <w:rFonts w:ascii="Calibri" w:hAnsi="Calibri"/>
                <w:sz w:val="22"/>
              </w:rPr>
              <w:t>Comparable EPS (Diluted, Operating)</w:t>
            </w:r>
          </w:p>
        </w:tc>
        <w:tc>
          <w:tcPr>
            <w:tcW w:type="dxa" w:w="1234"/>
          </w:tcPr>
          <w:p>
            <w:r>
              <w:rPr>
                <w:rFonts w:ascii="Calibri" w:hAnsi="Calibri"/>
                <w:sz w:val="22"/>
              </w:rPr>
              <w:t>$0.86</w:t>
            </w:r>
          </w:p>
        </w:tc>
        <w:tc>
          <w:tcPr>
            <w:tcW w:type="dxa" w:w="1234"/>
          </w:tcPr>
          <w:p>
            <w:r>
              <w:rPr>
                <w:rFonts w:ascii="Calibri" w:hAnsi="Calibri"/>
                <w:sz w:val="22"/>
              </w:rPr>
              <w:t>$0.87</w:t>
            </w:r>
          </w:p>
        </w:tc>
        <w:tc>
          <w:tcPr>
            <w:tcW w:type="dxa" w:w="1234"/>
          </w:tcPr>
          <w:p>
            <w:r>
              <w:rPr>
                <w:rFonts w:ascii="Calibri" w:hAnsi="Calibri"/>
                <w:sz w:val="22"/>
              </w:rPr>
              <w:t>$0.93</w:t>
            </w:r>
          </w:p>
        </w:tc>
        <w:tc>
          <w:tcPr>
            <w:tcW w:type="dxa" w:w="1234"/>
          </w:tcPr>
          <w:p>
            <w:r>
              <w:rPr>
                <w:rFonts w:ascii="Calibri" w:hAnsi="Calibri"/>
                <w:sz w:val="22"/>
              </w:rPr>
              <w:t>+6.9%</w:t>
            </w:r>
          </w:p>
        </w:tc>
        <w:tc>
          <w:tcPr>
            <w:tcW w:type="dxa" w:w="1234"/>
          </w:tcPr>
          <w:p>
            <w:r>
              <w:rPr>
                <w:rFonts w:ascii="Calibri" w:hAnsi="Calibri"/>
                <w:sz w:val="22"/>
              </w:rPr>
              <w:t>+8–9% growth vs. $3.00 (2025)</w:t>
            </w:r>
          </w:p>
        </w:tc>
        <w:tc>
          <w:tcPr>
            <w:tcW w:type="dxa" w:w="1234"/>
          </w:tcPr>
          <w:p>
            <w:r>
              <w:rPr>
                <w:rFonts w:ascii="Calibri" w:hAnsi="Calibri"/>
                <w:sz w:val="22"/>
              </w:rPr>
              <w:t>~$0.01 below midpoint pace</w:t>
            </w:r>
          </w:p>
        </w:tc>
      </w:tr>
      <w:tr>
        <w:tc>
          <w:tcPr>
            <w:tcW w:type="dxa" w:w="1234"/>
          </w:tcPr>
          <w:p>
            <w:r>
              <w:rPr>
                <w:rFonts w:ascii="Calibri" w:hAnsi="Calibri"/>
                <w:sz w:val="22"/>
              </w:rPr>
              <w:t>Total Organic Revenue Growth (%)</w:t>
            </w:r>
          </w:p>
        </w:tc>
        <w:tc>
          <w:tcPr>
            <w:tcW w:type="dxa" w:w="1234"/>
          </w:tcPr>
          <w:p>
            <w:r>
              <w:rPr>
                <w:rFonts w:ascii="Calibri" w:hAnsi="Calibri"/>
                <w:sz w:val="22"/>
              </w:rPr>
              <w:t>+10.0% (incl. 6 extra days)</w:t>
            </w:r>
          </w:p>
        </w:tc>
        <w:tc>
          <w:tcPr>
            <w:tcW w:type="dxa" w:w="1234"/>
          </w:tcPr>
          <w:p>
            <w:r>
              <w:rPr>
                <w:rFonts w:ascii="Calibri" w:hAnsi="Calibri"/>
                <w:sz w:val="22"/>
              </w:rPr>
              <w:t>+5.0%</w:t>
            </w:r>
          </w:p>
        </w:tc>
        <w:tc>
          <w:tcPr>
            <w:tcW w:type="dxa" w:w="1234"/>
          </w:tcPr>
          <w:p>
            <w:r>
              <w:rPr>
                <w:rFonts w:ascii="Calibri" w:hAnsi="Calibri"/>
                <w:sz w:val="22"/>
              </w:rPr>
              <w:t>~3.5%</w:t>
            </w:r>
          </w:p>
        </w:tc>
        <w:tc>
          <w:tcPr>
            <w:tcW w:type="dxa" w:w="1234"/>
          </w:tcPr>
          <w:p>
            <w:r>
              <w:rPr>
                <w:rFonts w:ascii="Calibri" w:hAnsi="Calibri"/>
                <w:sz w:val="22"/>
              </w:rPr>
              <w:t>-1.5 pts vs. PY</w:t>
            </w:r>
          </w:p>
        </w:tc>
        <w:tc>
          <w:tcPr>
            <w:tcW w:type="dxa" w:w="1234"/>
          </w:tcPr>
          <w:p>
            <w:r>
              <w:rPr>
                <w:rFonts w:ascii="Calibri" w:hAnsi="Calibri"/>
                <w:sz w:val="22"/>
              </w:rPr>
              <w:t>4–5% FY guide</w:t>
            </w:r>
          </w:p>
        </w:tc>
        <w:tc>
          <w:tcPr>
            <w:tcW w:type="dxa" w:w="1234"/>
          </w:tcPr>
          <w:p>
            <w:r>
              <w:rPr>
                <w:rFonts w:ascii="Calibri" w:hAnsi="Calibri"/>
                <w:sz w:val="22"/>
              </w:rPr>
              <w:t>~100–150 bps below guide midpoint</w:t>
            </w:r>
          </w:p>
        </w:tc>
      </w:tr>
      <w:tr>
        <w:tc>
          <w:tcPr>
            <w:tcW w:type="dxa" w:w="1234"/>
          </w:tcPr>
          <w:p>
            <w:r>
              <w:rPr>
                <w:rFonts w:ascii="Calibri" w:hAnsi="Calibri"/>
                <w:sz w:val="22"/>
              </w:rPr>
              <w:t>Total Unit Case Volume Growth (%)</w:t>
            </w:r>
          </w:p>
        </w:tc>
        <w:tc>
          <w:tcPr>
            <w:tcW w:type="dxa" w:w="1234"/>
          </w:tcPr>
          <w:p>
            <w:r>
              <w:rPr>
                <w:rFonts w:ascii="Calibri" w:hAnsi="Calibri"/>
                <w:sz w:val="22"/>
              </w:rPr>
              <w:t>+3.0% (incl. Easter shift benefit)</w:t>
            </w:r>
          </w:p>
        </w:tc>
        <w:tc>
          <w:tcPr>
            <w:tcW w:type="dxa" w:w="1234"/>
          </w:tcPr>
          <w:p>
            <w:r>
              <w:rPr>
                <w:rFonts w:ascii="Calibri" w:hAnsi="Calibri"/>
                <w:sz w:val="22"/>
              </w:rPr>
              <w:t>-1.0%</w:t>
            </w:r>
          </w:p>
        </w:tc>
        <w:tc>
          <w:tcPr>
            <w:tcW w:type="dxa" w:w="1234"/>
          </w:tcPr>
          <w:p>
            <w:r>
              <w:rPr>
                <w:rFonts w:ascii="Calibri" w:hAnsi="Calibri"/>
                <w:sz w:val="22"/>
              </w:rPr>
              <w:t>~+0.7%</w:t>
            </w:r>
          </w:p>
        </w:tc>
        <w:tc>
          <w:tcPr>
            <w:tcW w:type="dxa" w:w="1234"/>
          </w:tcPr>
          <w:p>
            <w:r>
              <w:rPr>
                <w:rFonts w:ascii="Calibri" w:hAnsi="Calibri"/>
                <w:sz w:val="22"/>
              </w:rPr>
              <w:t>+1.7 pts vs. PY</w:t>
            </w:r>
          </w:p>
        </w:tc>
        <w:tc>
          <w:tcPr>
            <w:tcW w:type="dxa" w:w="1234"/>
          </w:tcPr>
          <w:p>
            <w:r>
              <w:rPr>
                <w:rFonts w:ascii="Calibri" w:hAnsi="Calibri"/>
                <w:sz w:val="22"/>
              </w:rPr>
              <w:t>Balanced algorithm (vol + price/mix)</w:t>
            </w:r>
          </w:p>
        </w:tc>
        <w:tc>
          <w:tcPr>
            <w:tcW w:type="dxa" w:w="1234"/>
          </w:tcPr>
          <w:p>
            <w:r>
              <w:rPr>
                <w:rFonts w:ascii="Calibri" w:hAnsi="Calibri"/>
                <w:sz w:val="22"/>
              </w:rPr>
              <w:t>Below historical range target</w:t>
            </w:r>
          </w:p>
        </w:tc>
      </w:tr>
      <w:tr>
        <w:tc>
          <w:tcPr>
            <w:tcW w:type="dxa" w:w="1234"/>
          </w:tcPr>
          <w:p>
            <w:r>
              <w:rPr>
                <w:rFonts w:ascii="Calibri" w:hAnsi="Calibri"/>
                <w:sz w:val="22"/>
              </w:rPr>
              <w:t>Operating Income (Comparable, $B)</w:t>
            </w:r>
          </w:p>
        </w:tc>
        <w:tc>
          <w:tcPr>
            <w:tcW w:type="dxa" w:w="1234"/>
          </w:tcPr>
          <w:p>
            <w:r>
              <w:rPr>
                <w:rFonts w:ascii="Calibri" w:hAnsi="Calibri"/>
                <w:sz w:val="22"/>
              </w:rPr>
              <w:t>$4.30B</w:t>
            </w:r>
          </w:p>
        </w:tc>
        <w:tc>
          <w:tcPr>
            <w:tcW w:type="dxa" w:w="1234"/>
          </w:tcPr>
          <w:p>
            <w:r>
              <w:rPr>
                <w:rFonts w:ascii="Calibri" w:hAnsi="Calibri"/>
                <w:sz w:val="22"/>
              </w:rPr>
              <w:t>$4.38B</w:t>
            </w:r>
          </w:p>
        </w:tc>
        <w:tc>
          <w:tcPr>
            <w:tcW w:type="dxa" w:w="1234"/>
          </w:tcPr>
          <w:p>
            <w:r>
              <w:rPr>
                <w:rFonts w:ascii="Calibri" w:hAnsi="Calibri"/>
                <w:sz w:val="22"/>
              </w:rPr>
              <w:t>$4.61B</w:t>
            </w:r>
          </w:p>
        </w:tc>
        <w:tc>
          <w:tcPr>
            <w:tcW w:type="dxa" w:w="1234"/>
          </w:tcPr>
          <w:p>
            <w:r>
              <w:rPr>
                <w:rFonts w:ascii="Calibri" w:hAnsi="Calibri"/>
                <w:sz w:val="22"/>
              </w:rPr>
              <w:t>+5.3%</w:t>
            </w:r>
          </w:p>
        </w:tc>
        <w:tc>
          <w:tcPr>
            <w:tcW w:type="dxa" w:w="1234"/>
          </w:tcPr>
          <w:p>
            <w:r>
              <w:rPr>
                <w:rFonts w:ascii="Calibri" w:hAnsi="Calibri"/>
                <w:sz w:val="22"/>
              </w:rPr>
              <w:t>Margin expansion (back-half weighted)</w:t>
            </w:r>
          </w:p>
        </w:tc>
        <w:tc>
          <w:tcPr>
            <w:tcW w:type="dxa" w:w="1234"/>
          </w:tcPr>
          <w:p>
            <w:r>
              <w:rPr>
                <w:rFonts w:ascii="Calibri" w:hAnsi="Calibri"/>
                <w:sz w:val="22"/>
              </w:rPr>
              <w:t>In line with H2-weighted expansion plan</w:t>
            </w:r>
          </w:p>
        </w:tc>
      </w:tr>
      <w:tr>
        <w:tc>
          <w:tcPr>
            <w:tcW w:type="dxa" w:w="1234"/>
          </w:tcPr>
          <w:p>
            <w:r>
              <w:rPr>
                <w:rFonts w:ascii="Calibri" w:hAnsi="Calibri"/>
                <w:sz w:val="22"/>
              </w:rPr>
              <w:t>Free Cash Flow ($B)</w:t>
            </w:r>
          </w:p>
        </w:tc>
        <w:tc>
          <w:tcPr>
            <w:tcW w:type="dxa" w:w="1234"/>
          </w:tcPr>
          <w:p>
            <w:r>
              <w:rPr>
                <w:rFonts w:ascii="Calibri" w:hAnsi="Calibri"/>
                <w:sz w:val="22"/>
              </w:rPr>
              <w:t>$1.76B</w:t>
            </w:r>
          </w:p>
        </w:tc>
        <w:tc>
          <w:tcPr>
            <w:tcW w:type="dxa" w:w="1234"/>
          </w:tcPr>
          <w:p>
            <w:r>
              <w:rPr>
                <w:rFonts w:ascii="Calibri" w:hAnsi="Calibri"/>
                <w:sz w:val="22"/>
              </w:rPr>
              <w:t>$3.37B</w:t>
            </w:r>
          </w:p>
        </w:tc>
        <w:tc>
          <w:tcPr>
            <w:tcW w:type="dxa" w:w="1234"/>
          </w:tcPr>
          <w:p>
            <w:r>
              <w:rPr>
                <w:rFonts w:ascii="Calibri" w:hAnsi="Calibri"/>
                <w:sz w:val="22"/>
              </w:rPr>
              <w:t>$5.34B</w:t>
            </w:r>
          </w:p>
        </w:tc>
        <w:tc>
          <w:tcPr>
            <w:tcW w:type="dxa" w:w="1234"/>
          </w:tcPr>
          <w:p>
            <w:r>
              <w:rPr>
                <w:rFonts w:ascii="Calibri" w:hAnsi="Calibri"/>
                <w:sz w:val="22"/>
              </w:rPr>
              <w:t>N/A (FY consensus shown)</w:t>
            </w:r>
          </w:p>
        </w:tc>
        <w:tc>
          <w:tcPr>
            <w:tcW w:type="dxa" w:w="1234"/>
          </w:tcPr>
          <w:p>
            <w:r>
              <w:rPr>
                <w:rFonts w:ascii="Calibri" w:hAnsi="Calibri"/>
                <w:sz w:val="22"/>
              </w:rPr>
              <w:t>N/A (no quarterly FCF guide)</w:t>
            </w:r>
          </w:p>
        </w:tc>
        <w:tc>
          <w:tcPr>
            <w:tcW w:type="dxa" w:w="1234"/>
          </w:tcPr>
          <w:p>
            <w:r>
              <w:rPr>
                <w:rFonts w:ascii="Calibri" w:hAnsi="Calibri"/>
                <w:sz w:val="22"/>
              </w:rPr>
              <w:t>N/A</w:t>
            </w:r>
          </w:p>
        </w:tc>
      </w:tr>
    </w:tbl>
    <w:p>
      <w:r>
        <w:rPr>
          <w:rFonts w:ascii="Calibri" w:hAnsi="Calibri"/>
          <w:i/>
          <w:color w:val="525866"/>
          <w:sz w:val="22"/>
        </w:rPr>
        <w:t>Sources: Visible Alpha Consensus and Actuals Data. Net operating revenues, EPS (diluted operating), organic growth %, volume growth %, and operating income sourced from Visible Alpha. Q2 2026 consensus as of July 27, 2026. FY2026 FCF consensus ($11.97B) shown for reference; quarterly FCF is highly seasonal and not directly comparable.</w:t>
      </w:r>
    </w:p>
    <w:p>
      <w:pPr>
        <w:pStyle w:val="Heading3"/>
      </w:pPr>
      <w:r>
        <w:rPr>
          <w:rFonts w:ascii="Calibri" w:hAnsi="Calibri"/>
          <w:b/>
          <w:color w:val="3B4259"/>
          <w:sz w:val="24"/>
        </w:rPr>
        <w:t>Table 2 — Beat/Miss History (Last 8 Quarters, Top 2 KPIs)</w:t>
      </w:r>
    </w:p>
    <w:p>
      <w:r>
        <w:rPr>
          <w:rFonts w:ascii="Calibri" w:hAnsi="Calibri"/>
          <w:b/>
          <w:color w:val="525866"/>
          <w:sz w:val="22"/>
        </w:rPr>
        <w:t>KPI 1: Comparable EPS (Diluted, Operating)</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$0.84</w:t>
            </w:r>
          </w:p>
        </w:tc>
        <w:tc>
          <w:tcPr>
            <w:tcW w:type="dxa" w:w="1728"/>
          </w:tcPr>
          <w:p>
            <w:r>
              <w:rPr>
                <w:rFonts w:ascii="Calibri" w:hAnsi="Calibri"/>
                <w:sz w:val="22"/>
              </w:rPr>
              <w:t>$0.80</w:t>
            </w:r>
          </w:p>
        </w:tc>
        <w:tc>
          <w:tcPr>
            <w:tcW w:type="dxa" w:w="1728"/>
          </w:tcPr>
          <w:p>
            <w:r>
              <w:rPr>
                <w:rFonts w:ascii="Calibri" w:hAnsi="Calibri"/>
                <w:b/>
                <w:color w:val="30A46C"/>
                <w:sz w:val="22"/>
              </w:rPr>
              <w:t>+4.6%</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$0.77</w:t>
            </w:r>
          </w:p>
        </w:tc>
        <w:tc>
          <w:tcPr>
            <w:tcW w:type="dxa" w:w="1728"/>
          </w:tcPr>
          <w:p>
            <w:r>
              <w:rPr>
                <w:rFonts w:ascii="Calibri" w:hAnsi="Calibri"/>
                <w:sz w:val="22"/>
              </w:rPr>
              <w:t>$0.75</w:t>
            </w:r>
          </w:p>
        </w:tc>
        <w:tc>
          <w:tcPr>
            <w:tcW w:type="dxa" w:w="1728"/>
          </w:tcPr>
          <w:p>
            <w:r>
              <w:rPr>
                <w:rFonts w:ascii="Calibri" w:hAnsi="Calibri"/>
                <w:b/>
                <w:color w:val="30A46C"/>
                <w:sz w:val="22"/>
              </w:rPr>
              <w:t>+3.1%</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$0.55</w:t>
            </w:r>
          </w:p>
        </w:tc>
        <w:tc>
          <w:tcPr>
            <w:tcW w:type="dxa" w:w="1728"/>
          </w:tcPr>
          <w:p>
            <w:r>
              <w:rPr>
                <w:rFonts w:ascii="Calibri" w:hAnsi="Calibri"/>
                <w:sz w:val="22"/>
              </w:rPr>
              <w:t>$0.52</w:t>
            </w:r>
          </w:p>
        </w:tc>
        <w:tc>
          <w:tcPr>
            <w:tcW w:type="dxa" w:w="1728"/>
          </w:tcPr>
          <w:p>
            <w:r>
              <w:rPr>
                <w:rFonts w:ascii="Calibri" w:hAnsi="Calibri"/>
                <w:b/>
                <w:color w:val="30A46C"/>
                <w:sz w:val="22"/>
              </w:rPr>
              <w:t>+6.2%</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$0.73</w:t>
            </w:r>
          </w:p>
        </w:tc>
        <w:tc>
          <w:tcPr>
            <w:tcW w:type="dxa" w:w="1728"/>
          </w:tcPr>
          <w:p>
            <w:r>
              <w:rPr>
                <w:rFonts w:ascii="Calibri" w:hAnsi="Calibri"/>
                <w:sz w:val="22"/>
              </w:rPr>
              <w:t>$0.72</w:t>
            </w:r>
          </w:p>
        </w:tc>
        <w:tc>
          <w:tcPr>
            <w:tcW w:type="dxa" w:w="1728"/>
          </w:tcPr>
          <w:p>
            <w:r>
              <w:rPr>
                <w:rFonts w:ascii="Calibri" w:hAnsi="Calibri"/>
                <w:b/>
                <w:color w:val="30A46C"/>
                <w:sz w:val="22"/>
              </w:rPr>
              <w:t>+1.9%</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$0.87</w:t>
            </w:r>
          </w:p>
        </w:tc>
        <w:tc>
          <w:tcPr>
            <w:tcW w:type="dxa" w:w="1728"/>
          </w:tcPr>
          <w:p>
            <w:r>
              <w:rPr>
                <w:rFonts w:ascii="Calibri" w:hAnsi="Calibri"/>
                <w:sz w:val="22"/>
              </w:rPr>
              <w:t>$0.83</w:t>
            </w:r>
          </w:p>
        </w:tc>
        <w:tc>
          <w:tcPr>
            <w:tcW w:type="dxa" w:w="1728"/>
          </w:tcPr>
          <w:p>
            <w:r>
              <w:rPr>
                <w:rFonts w:ascii="Calibri" w:hAnsi="Calibri"/>
                <w:b/>
                <w:color w:val="30A46C"/>
                <w:sz w:val="22"/>
              </w:rPr>
              <w:t>+4.7%</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$0.82</w:t>
            </w:r>
          </w:p>
        </w:tc>
        <w:tc>
          <w:tcPr>
            <w:tcW w:type="dxa" w:w="1728"/>
          </w:tcPr>
          <w:p>
            <w:r>
              <w:rPr>
                <w:rFonts w:ascii="Calibri" w:hAnsi="Calibri"/>
                <w:sz w:val="22"/>
              </w:rPr>
              <w:t>$0.78</w:t>
            </w:r>
          </w:p>
        </w:tc>
        <w:tc>
          <w:tcPr>
            <w:tcW w:type="dxa" w:w="1728"/>
          </w:tcPr>
          <w:p>
            <w:r>
              <w:rPr>
                <w:rFonts w:ascii="Calibri" w:hAnsi="Calibri"/>
                <w:b/>
                <w:color w:val="30A46C"/>
                <w:sz w:val="22"/>
              </w:rPr>
              <w:t>+5.2%</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$0.58</w:t>
            </w:r>
          </w:p>
        </w:tc>
        <w:tc>
          <w:tcPr>
            <w:tcW w:type="dxa" w:w="1728"/>
          </w:tcPr>
          <w:p>
            <w:r>
              <w:rPr>
                <w:rFonts w:ascii="Calibri" w:hAnsi="Calibri"/>
                <w:sz w:val="22"/>
              </w:rPr>
              <w:t>$0.57</w:t>
            </w:r>
          </w:p>
        </w:tc>
        <w:tc>
          <w:tcPr>
            <w:tcW w:type="dxa" w:w="1728"/>
          </w:tcPr>
          <w:p>
            <w:r>
              <w:rPr>
                <w:rFonts w:ascii="Calibri" w:hAnsi="Calibri"/>
                <w:b/>
                <w:color w:val="30A46C"/>
                <w:sz w:val="22"/>
              </w:rPr>
              <w:t>+2.1%</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$0.86</w:t>
            </w:r>
          </w:p>
        </w:tc>
        <w:tc>
          <w:tcPr>
            <w:tcW w:type="dxa" w:w="1728"/>
          </w:tcPr>
          <w:p>
            <w:r>
              <w:rPr>
                <w:rFonts w:ascii="Calibri" w:hAnsi="Calibri"/>
                <w:sz w:val="22"/>
              </w:rPr>
              <w:t>$0.81</w:t>
            </w:r>
          </w:p>
        </w:tc>
        <w:tc>
          <w:tcPr>
            <w:tcW w:type="dxa" w:w="1728"/>
          </w:tcPr>
          <w:p>
            <w:r>
              <w:rPr>
                <w:rFonts w:ascii="Calibri" w:hAnsi="Calibri"/>
                <w:b/>
                <w:color w:val="30A46C"/>
                <w:sz w:val="22"/>
              </w:rPr>
              <w:t>+6.5%</w:t>
            </w:r>
          </w:p>
        </w:tc>
        <w:tc>
          <w:tcPr>
            <w:tcW w:type="dxa" w:w="1728"/>
          </w:tcPr>
          <w:p>
            <w:r>
              <w:rPr>
                <w:rFonts w:ascii="Calibri" w:hAnsi="Calibri"/>
                <w:b/>
                <w:color w:val="30A46C"/>
                <w:sz w:val="22"/>
              </w:rPr>
              <w:t>Beat</w:t>
            </w:r>
          </w:p>
        </w:tc>
      </w:tr>
    </w:tbl>
    <w:p>
      <w:r>
        <w:rPr>
          <w:rFonts w:ascii="Calibri" w:hAnsi="Calibri"/>
          <w:b/>
          <w:color w:val="525866"/>
          <w:sz w:val="22"/>
        </w:rPr>
        <w:t>KPI 2: Total Organic Revenue Growth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(pts)</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+15.0%</w:t>
            </w:r>
          </w:p>
        </w:tc>
        <w:tc>
          <w:tcPr>
            <w:tcW w:type="dxa" w:w="1728"/>
          </w:tcPr>
          <w:p>
            <w:r>
              <w:rPr>
                <w:rFonts w:ascii="Calibri" w:hAnsi="Calibri"/>
                <w:sz w:val="22"/>
              </w:rPr>
              <w:t>+9.3%</w:t>
            </w:r>
          </w:p>
        </w:tc>
        <w:tc>
          <w:tcPr>
            <w:tcW w:type="dxa" w:w="1728"/>
          </w:tcPr>
          <w:p>
            <w:r>
              <w:rPr>
                <w:rFonts w:ascii="Calibri" w:hAnsi="Calibri"/>
                <w:b/>
                <w:color w:val="30A46C"/>
                <w:sz w:val="22"/>
              </w:rPr>
              <w:t>+5.7 pts</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+9.0%</w:t>
            </w:r>
          </w:p>
        </w:tc>
        <w:tc>
          <w:tcPr>
            <w:tcW w:type="dxa" w:w="1728"/>
          </w:tcPr>
          <w:p>
            <w:r>
              <w:rPr>
                <w:rFonts w:ascii="Calibri" w:hAnsi="Calibri"/>
                <w:sz w:val="22"/>
              </w:rPr>
              <w:t>+6.6%</w:t>
            </w:r>
          </w:p>
        </w:tc>
        <w:tc>
          <w:tcPr>
            <w:tcW w:type="dxa" w:w="1728"/>
          </w:tcPr>
          <w:p>
            <w:r>
              <w:rPr>
                <w:rFonts w:ascii="Calibri" w:hAnsi="Calibri"/>
                <w:b/>
                <w:color w:val="30A46C"/>
                <w:sz w:val="22"/>
              </w:rPr>
              <w:t>+2.4 pts</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+14.0%</w:t>
            </w:r>
          </w:p>
        </w:tc>
        <w:tc>
          <w:tcPr>
            <w:tcW w:type="dxa" w:w="1728"/>
          </w:tcPr>
          <w:p>
            <w:r>
              <w:rPr>
                <w:rFonts w:ascii="Calibri" w:hAnsi="Calibri"/>
                <w:sz w:val="22"/>
              </w:rPr>
              <w:t>+7.0%</w:t>
            </w:r>
          </w:p>
        </w:tc>
        <w:tc>
          <w:tcPr>
            <w:tcW w:type="dxa" w:w="1728"/>
          </w:tcPr>
          <w:p>
            <w:r>
              <w:rPr>
                <w:rFonts w:ascii="Calibri" w:hAnsi="Calibri"/>
                <w:b/>
                <w:color w:val="30A46C"/>
                <w:sz w:val="22"/>
              </w:rPr>
              <w:t>+7.0 pts</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+6.0%</w:t>
            </w:r>
          </w:p>
        </w:tc>
        <w:tc>
          <w:tcPr>
            <w:tcW w:type="dxa" w:w="1728"/>
          </w:tcPr>
          <w:p>
            <w:r>
              <w:rPr>
                <w:rFonts w:ascii="Calibri" w:hAnsi="Calibri"/>
                <w:sz w:val="22"/>
              </w:rPr>
              <w:t>+4.7%</w:t>
            </w:r>
          </w:p>
        </w:tc>
        <w:tc>
          <w:tcPr>
            <w:tcW w:type="dxa" w:w="1728"/>
          </w:tcPr>
          <w:p>
            <w:r>
              <w:rPr>
                <w:rFonts w:ascii="Calibri" w:hAnsi="Calibri"/>
                <w:b/>
                <w:color w:val="30A46C"/>
                <w:sz w:val="22"/>
              </w:rPr>
              <w:t>+1.3 pts</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+5.0%</w:t>
            </w:r>
          </w:p>
        </w:tc>
        <w:tc>
          <w:tcPr>
            <w:tcW w:type="dxa" w:w="1728"/>
          </w:tcPr>
          <w:p>
            <w:r>
              <w:rPr>
                <w:rFonts w:ascii="Calibri" w:hAnsi="Calibri"/>
                <w:sz w:val="22"/>
              </w:rPr>
              <w:t>+4.6%</w:t>
            </w:r>
          </w:p>
        </w:tc>
        <w:tc>
          <w:tcPr>
            <w:tcW w:type="dxa" w:w="1728"/>
          </w:tcPr>
          <w:p>
            <w:r>
              <w:rPr>
                <w:rFonts w:ascii="Calibri" w:hAnsi="Calibri"/>
                <w:b/>
                <w:color w:val="30A46C"/>
                <w:sz w:val="22"/>
              </w:rPr>
              <w:t>+0.4 pts</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+6.0%</w:t>
            </w:r>
          </w:p>
        </w:tc>
        <w:tc>
          <w:tcPr>
            <w:tcW w:type="dxa" w:w="1728"/>
          </w:tcPr>
          <w:p>
            <w:r>
              <w:rPr>
                <w:rFonts w:ascii="Calibri" w:hAnsi="Calibri"/>
                <w:sz w:val="22"/>
              </w:rPr>
              <w:t>+4.3%</w:t>
            </w:r>
          </w:p>
        </w:tc>
        <w:tc>
          <w:tcPr>
            <w:tcW w:type="dxa" w:w="1728"/>
          </w:tcPr>
          <w:p>
            <w:r>
              <w:rPr>
                <w:rFonts w:ascii="Calibri" w:hAnsi="Calibri"/>
                <w:b/>
                <w:color w:val="30A46C"/>
                <w:sz w:val="22"/>
              </w:rPr>
              <w:t>+1.7 pts</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+5.0%</w:t>
            </w:r>
          </w:p>
        </w:tc>
        <w:tc>
          <w:tcPr>
            <w:tcW w:type="dxa" w:w="1728"/>
          </w:tcPr>
          <w:p>
            <w:r>
              <w:rPr>
                <w:rFonts w:ascii="Calibri" w:hAnsi="Calibri"/>
                <w:sz w:val="22"/>
              </w:rPr>
              <w:t>+4.6%</w:t>
            </w:r>
          </w:p>
        </w:tc>
        <w:tc>
          <w:tcPr>
            <w:tcW w:type="dxa" w:w="1728"/>
          </w:tcPr>
          <w:p>
            <w:r>
              <w:rPr>
                <w:rFonts w:ascii="Calibri" w:hAnsi="Calibri"/>
                <w:b/>
                <w:color w:val="30A46C"/>
                <w:sz w:val="22"/>
              </w:rPr>
              <w:t>+0.4 pts</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+10.0%</w:t>
            </w:r>
          </w:p>
        </w:tc>
        <w:tc>
          <w:tcPr>
            <w:tcW w:type="dxa" w:w="1728"/>
          </w:tcPr>
          <w:p>
            <w:r>
              <w:rPr>
                <w:rFonts w:ascii="Calibri" w:hAnsi="Calibri"/>
                <w:sz w:val="22"/>
              </w:rPr>
              <w:t>+6.5%</w:t>
            </w:r>
          </w:p>
        </w:tc>
        <w:tc>
          <w:tcPr>
            <w:tcW w:type="dxa" w:w="1728"/>
          </w:tcPr>
          <w:p>
            <w:r>
              <w:rPr>
                <w:rFonts w:ascii="Calibri" w:hAnsi="Calibri"/>
                <w:b/>
                <w:color w:val="30A46C"/>
                <w:sz w:val="22"/>
              </w:rPr>
              <w:t>+3.5 pts</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KO has beaten on comparable EPS in all 8 of the last 8 quarters, with an average surprise of ~4.3%. Organic revenue beats have been consistent but narrowing as the base effect from 2023–2024 pricing cycles fades — the Q1 2026 beat was inflated by 6 extra calendar days and concentrate shipment timing, which management explicitly flagged as non-recurring. The clean underlying organic growth rate is tracking closer to 4–5%, consistent with guidance.</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was raised at Q1 2026 earnings (April 28) — comparable EPS growth lifted to 8–9% from 7–8% on a lower tax rate — and has not been formally revised since. The only post-earnings development is the June 25 leadership change (NA President departure), which introduces execution risk but carries no formal guidance revision.</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28)</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Organic Revenue Growth (FY2026)</w:t>
            </w:r>
          </w:p>
        </w:tc>
        <w:tc>
          <w:tcPr>
            <w:tcW w:type="dxa" w:w="1728"/>
          </w:tcPr>
          <w:p>
            <w:r>
              <w:rPr>
                <w:rFonts w:ascii="Calibri" w:hAnsi="Calibri"/>
                <w:sz w:val="22"/>
              </w:rPr>
              <w:t>4–5%</w:t>
            </w:r>
          </w:p>
        </w:tc>
        <w:tc>
          <w:tcPr>
            <w:tcW w:type="dxa" w:w="1728"/>
          </w:tcPr>
          <w:p>
            <w:r>
              <w:rPr>
                <w:rFonts w:ascii="Calibri" w:hAnsi="Calibri"/>
                <w:sz w:val="22"/>
              </w:rPr>
              <w:t>—</w:t>
            </w:r>
          </w:p>
        </w:tc>
        <w:tc>
          <w:tcPr>
            <w:tcW w:type="dxa" w:w="1728"/>
          </w:tcPr>
          <w:p>
            <w:r>
              <w:rPr>
                <w:rFonts w:ascii="Calibri" w:hAnsi="Calibri"/>
                <w:sz w:val="22"/>
              </w:rPr>
              <w:t>~4.9%</w:t>
            </w:r>
          </w:p>
        </w:tc>
        <w:tc>
          <w:tcPr>
            <w:tcW w:type="dxa" w:w="1728"/>
          </w:tcPr>
          <w:p>
            <w:r>
              <w:rPr>
                <w:rFonts w:ascii="Calibri" w:hAnsi="Calibri"/>
                <w:sz w:val="22"/>
              </w:rPr>
              <w:t>Unchanged; consensus sits at high end of range</w:t>
            </w:r>
          </w:p>
        </w:tc>
      </w:tr>
      <w:tr>
        <w:tc>
          <w:tcPr>
            <w:tcW w:type="dxa" w:w="1728"/>
          </w:tcPr>
          <w:p>
            <w:r>
              <w:rPr>
                <w:rFonts w:ascii="Calibri" w:hAnsi="Calibri"/>
                <w:sz w:val="22"/>
              </w:rPr>
              <w:t>Comparable EPS Growth (FY2026, currency-neutral ex-M&amp;A)</w:t>
            </w:r>
          </w:p>
        </w:tc>
        <w:tc>
          <w:tcPr>
            <w:tcW w:type="dxa" w:w="1728"/>
          </w:tcPr>
          <w:p>
            <w:r>
              <w:rPr>
                <w:rFonts w:ascii="Calibri" w:hAnsi="Calibri"/>
                <w:sz w:val="22"/>
              </w:rPr>
              <w:t>6–7% (currency-neutral)</w:t>
            </w:r>
          </w:p>
        </w:tc>
        <w:tc>
          <w:tcPr>
            <w:tcW w:type="dxa" w:w="1728"/>
          </w:tcPr>
          <w:p>
            <w:r>
              <w:rPr>
                <w:rFonts w:ascii="Calibri" w:hAnsi="Calibri"/>
                <w:sz w:val="22"/>
              </w:rPr>
              <w:t>—</w:t>
            </w:r>
          </w:p>
        </w:tc>
        <w:tc>
          <w:tcPr>
            <w:tcW w:type="dxa" w:w="1728"/>
          </w:tcPr>
          <w:p>
            <w:r>
              <w:rPr>
                <w:rFonts w:ascii="Calibri" w:hAnsi="Calibri"/>
                <w:sz w:val="22"/>
              </w:rPr>
              <w:t>N/A (all-in EPS guided)</w:t>
            </w:r>
          </w:p>
        </w:tc>
        <w:tc>
          <w:tcPr>
            <w:tcW w:type="dxa" w:w="1728"/>
          </w:tcPr>
          <w:p>
            <w:r>
              <w:rPr>
                <w:rFonts w:ascii="Calibri" w:hAnsi="Calibri"/>
                <w:sz w:val="22"/>
              </w:rPr>
              <w:t>Unchanged; raised from 5–6% at Q4 2025 earnings</w:t>
            </w:r>
          </w:p>
        </w:tc>
      </w:tr>
      <w:tr>
        <w:tc>
          <w:tcPr>
            <w:tcW w:type="dxa" w:w="1728"/>
          </w:tcPr>
          <w:p>
            <w:r>
              <w:rPr>
                <w:rFonts w:ascii="Calibri" w:hAnsi="Calibri"/>
                <w:sz w:val="22"/>
              </w:rPr>
              <w:t>Comparable EPS Growth (FY2026, all-in incl. FX &amp; tax)</w:t>
            </w:r>
          </w:p>
        </w:tc>
        <w:tc>
          <w:tcPr>
            <w:tcW w:type="dxa" w:w="1728"/>
          </w:tcPr>
          <w:p>
            <w:r>
              <w:rPr>
                <w:rFonts w:ascii="Calibri" w:hAnsi="Calibri"/>
                <w:sz w:val="22"/>
              </w:rPr>
              <w:t>8–9% vs. $3.00 (2025)</w:t>
            </w:r>
          </w:p>
        </w:tc>
        <w:tc>
          <w:tcPr>
            <w:tcW w:type="dxa" w:w="1728"/>
          </w:tcPr>
          <w:p>
            <w:r>
              <w:rPr>
                <w:rFonts w:ascii="Calibri" w:hAnsi="Calibri"/>
                <w:sz w:val="22"/>
              </w:rPr>
              <w:t>—</w:t>
            </w:r>
          </w:p>
        </w:tc>
        <w:tc>
          <w:tcPr>
            <w:tcW w:type="dxa" w:w="1728"/>
          </w:tcPr>
          <w:p>
            <w:r>
              <w:rPr>
                <w:rFonts w:ascii="Calibri" w:hAnsi="Calibri"/>
                <w:sz w:val="22"/>
              </w:rPr>
              <w:t>$3.27 (~+9%)</w:t>
            </w:r>
          </w:p>
        </w:tc>
        <w:tc>
          <w:tcPr>
            <w:tcW w:type="dxa" w:w="1728"/>
          </w:tcPr>
          <w:p>
            <w:r>
              <w:rPr>
                <w:rFonts w:ascii="Calibri" w:hAnsi="Calibri"/>
                <w:sz w:val="22"/>
              </w:rPr>
              <w:t>↑ Raised at Q1 2026 earnings (Apr 28); driven by 1-pt tax rate reduction to 19.9%</w:t>
            </w:r>
          </w:p>
        </w:tc>
      </w:tr>
      <w:tr>
        <w:tc>
          <w:tcPr>
            <w:tcW w:type="dxa" w:w="1728"/>
          </w:tcPr>
          <w:p>
            <w:r>
              <w:rPr>
                <w:rFonts w:ascii="Calibri" w:hAnsi="Calibri"/>
                <w:sz w:val="22"/>
              </w:rPr>
              <w:t>Currency Impact on Net Revenues (FY2026)</w:t>
            </w:r>
          </w:p>
        </w:tc>
        <w:tc>
          <w:tcPr>
            <w:tcW w:type="dxa" w:w="1728"/>
          </w:tcPr>
          <w:p>
            <w:r>
              <w:rPr>
                <w:rFonts w:ascii="Calibri" w:hAnsi="Calibri"/>
                <w:sz w:val="22"/>
              </w:rPr>
              <w:t>~+1–2 pt tailwind</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 Raised from ~+1 pt at Q4 2025; FX tailwind widened</w:t>
            </w:r>
          </w:p>
        </w:tc>
      </w:tr>
      <w:tr>
        <w:tc>
          <w:tcPr>
            <w:tcW w:type="dxa" w:w="1728"/>
          </w:tcPr>
          <w:p>
            <w:r>
              <w:rPr>
                <w:rFonts w:ascii="Calibri" w:hAnsi="Calibri"/>
                <w:sz w:val="22"/>
              </w:rPr>
              <w:t>Currency Impact on EPS (FY2026)</w:t>
            </w:r>
          </w:p>
        </w:tc>
        <w:tc>
          <w:tcPr>
            <w:tcW w:type="dxa" w:w="1728"/>
          </w:tcPr>
          <w:p>
            <w:r>
              <w:rPr>
                <w:rFonts w:ascii="Calibri" w:hAnsi="Calibri"/>
                <w:sz w:val="22"/>
              </w:rPr>
              <w:t>~+3 pt tailwind</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from Q4 2025 guidance</w:t>
            </w:r>
          </w:p>
        </w:tc>
      </w:tr>
      <w:tr>
        <w:tc>
          <w:tcPr>
            <w:tcW w:type="dxa" w:w="1728"/>
          </w:tcPr>
          <w:p>
            <w:r>
              <w:rPr>
                <w:rFonts w:ascii="Calibri" w:hAnsi="Calibri"/>
                <w:sz w:val="22"/>
              </w:rPr>
              <w:t>Divestitures Headwind (Net Revenues)</w:t>
            </w:r>
          </w:p>
        </w:tc>
        <w:tc>
          <w:tcPr>
            <w:tcW w:type="dxa" w:w="1728"/>
          </w:tcPr>
          <w:p>
            <w:r>
              <w:rPr>
                <w:rFonts w:ascii="Calibri" w:hAnsi="Calibri"/>
                <w:sz w:val="22"/>
              </w:rPr>
              <w:t>~4 pt headwind (assumes CCBA closes H2 2026)</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CCBA sale pending regulatory approval</w:t>
            </w:r>
          </w:p>
        </w:tc>
      </w:tr>
      <w:tr>
        <w:tc>
          <w:tcPr>
            <w:tcW w:type="dxa" w:w="1728"/>
          </w:tcPr>
          <w:p>
            <w:r>
              <w:rPr>
                <w:rFonts w:ascii="Calibri" w:hAnsi="Calibri"/>
                <w:sz w:val="22"/>
              </w:rPr>
              <w:t>Underlying Effective Tax Rate (FY2026)</w:t>
            </w:r>
          </w:p>
        </w:tc>
        <w:tc>
          <w:tcPr>
            <w:tcW w:type="dxa" w:w="1728"/>
          </w:tcPr>
          <w:p>
            <w:r>
              <w:rPr>
                <w:rFonts w:ascii="Calibri" w:hAnsi="Calibri"/>
                <w:sz w:val="22"/>
              </w:rPr>
              <w:t>19.9%</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 Reduced 1 pt vs. prior estimate at Q1 2026 earnings; primary driver of EPS raise</w:t>
            </w:r>
          </w:p>
        </w:tc>
      </w:tr>
      <w:tr>
        <w:tc>
          <w:tcPr>
            <w:tcW w:type="dxa" w:w="1728"/>
          </w:tcPr>
          <w:p>
            <w:r>
              <w:rPr>
                <w:rFonts w:ascii="Calibri" w:hAnsi="Calibri"/>
                <w:sz w:val="22"/>
              </w:rPr>
              <w:t>Q2 2026 Concentrate Shipments vs. Unit Cases</w:t>
            </w:r>
          </w:p>
        </w:tc>
        <w:tc>
          <w:tcPr>
            <w:tcW w:type="dxa" w:w="1728"/>
          </w:tcPr>
          <w:p>
            <w:r>
              <w:rPr>
                <w:rFonts w:ascii="Calibri" w:hAnsi="Calibri"/>
                <w:sz w:val="22"/>
              </w:rPr>
              <w:t>Concentrate to lag unit cases by ~2 pts</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Q2-specific guidance; reversal of Q1 concentrate shipment pull-forward</w:t>
            </w:r>
          </w:p>
        </w:tc>
      </w:tr>
      <w:tr>
        <w:tc>
          <w:tcPr>
            <w:tcW w:type="dxa" w:w="1728"/>
          </w:tcPr>
          <w:p>
            <w:r>
              <w:rPr>
                <w:rFonts w:ascii="Calibri" w:hAnsi="Calibri"/>
                <w:sz w:val="22"/>
              </w:rPr>
              <w:t>North America Leadership</w:t>
            </w:r>
          </w:p>
        </w:tc>
        <w:tc>
          <w:tcPr>
            <w:tcW w:type="dxa" w:w="1728"/>
          </w:tcPr>
          <w:p>
            <w:r>
              <w:rPr>
                <w:rFonts w:ascii="Calibri" w:hAnsi="Calibri"/>
                <w:sz w:val="22"/>
              </w:rPr>
              <w:t>Jennifer Mann, EVP &amp; President NA</w:t>
            </w:r>
          </w:p>
        </w:tc>
        <w:tc>
          <w:tcPr>
            <w:tcW w:type="dxa" w:w="1728"/>
          </w:tcPr>
          <w:p>
            <w:r>
              <w:rPr>
                <w:rFonts w:ascii="Calibri" w:hAnsi="Calibri"/>
                <w:sz w:val="22"/>
              </w:rPr>
              <w:t>John Murphy (CFO) assumes interim NA role effective Aug 1, 2026</w:t>
            </w:r>
          </w:p>
        </w:tc>
        <w:tc>
          <w:tcPr>
            <w:tcW w:type="dxa" w:w="1728"/>
          </w:tcPr>
          <w:p>
            <w:r>
              <w:rPr>
                <w:rFonts w:ascii="Calibri" w:hAnsi="Calibri"/>
                <w:sz w:val="22"/>
              </w:rPr>
              <w:t>N/A</w:t>
            </w:r>
          </w:p>
        </w:tc>
        <w:tc>
          <w:tcPr>
            <w:tcW w:type="dxa" w:w="1728"/>
          </w:tcPr>
          <w:p>
            <w:r>
              <w:rPr>
                <w:rFonts w:ascii="Calibri" w:hAnsi="Calibri"/>
                <w:sz w:val="22"/>
              </w:rPr>
              <w:t>Leadership change announced Jun 25, 2026; no guidance revision; execution risk flagged</w:t>
            </w:r>
          </w:p>
        </w:tc>
      </w:tr>
    </w:tbl>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been essentially flat since the Q1 2026 print — EPS revised up just $0.001 and revenue up ~$1.7M for Q2, and FY2026 EPS barely moved (+$0.001). The Street has not chased the Q1 beat, leaving consensus as a clean, unrevised bar. The gap between consensus organic growth (~3.5%) and the low end of guidance (4%) is a potential source of upside if FIFA World Cup activations and fairlife capacity ramp deliver as planned.</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(May 3, 2026 — 5 Days Post Q1 Print)</w:t>
            </w:r>
          </w:p>
        </w:tc>
        <w:tc>
          <w:tcPr>
            <w:tcW w:type="dxa" w:w="1080"/>
            <w:shd w:val="clear" w:color="auto" w:fill="3B4259"/>
          </w:tcPr>
          <w:p>
            <w:r>
              <w:rPr>
                <w:rFonts w:ascii="Calibri" w:hAnsi="Calibri"/>
                <w:b/>
                <w:color w:val="FFFFFF"/>
                <w:sz w:val="22"/>
              </w:rPr>
              <w:t>Current Consensus (Jul 27,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2026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w:t>
            </w:r>
          </w:p>
        </w:tc>
      </w:tr>
      <w:tr>
        <w:tc>
          <w:tcPr>
            <w:tcW w:type="dxa" w:w="1080"/>
          </w:tcPr>
          <w:p>
            <w:r>
              <w:rPr>
                <w:rFonts w:ascii="Calibri" w:hAnsi="Calibri"/>
                <w:sz w:val="22"/>
              </w:rPr>
              <w:t>Comparable EPS — Q2 2026</w:t>
            </w:r>
          </w:p>
        </w:tc>
        <w:tc>
          <w:tcPr>
            <w:tcW w:type="dxa" w:w="1080"/>
          </w:tcPr>
          <w:p>
            <w:r>
              <w:rPr>
                <w:rFonts w:ascii="Calibri" w:hAnsi="Calibri"/>
                <w:sz w:val="22"/>
              </w:rPr>
              <w:t>$0.931</w:t>
            </w:r>
          </w:p>
        </w:tc>
        <w:tc>
          <w:tcPr>
            <w:tcW w:type="dxa" w:w="1080"/>
          </w:tcPr>
          <w:p>
            <w:r>
              <w:rPr>
                <w:rFonts w:ascii="Calibri" w:hAnsi="Calibri"/>
                <w:sz w:val="22"/>
              </w:rPr>
              <w:t>$0.933</w:t>
            </w:r>
          </w:p>
        </w:tc>
        <w:tc>
          <w:tcPr>
            <w:tcW w:type="dxa" w:w="1080"/>
          </w:tcPr>
          <w:p>
            <w:r>
              <w:rPr>
                <w:rFonts w:ascii="Calibri" w:hAnsi="Calibri"/>
                <w:sz w:val="22"/>
              </w:rPr>
              <w:t>+0.2%</w:t>
            </w:r>
          </w:p>
        </w:tc>
        <w:tc>
          <w:tcPr>
            <w:tcW w:type="dxa" w:w="1080"/>
          </w:tcPr>
          <w:p>
            <w:r>
              <w:rPr>
                <w:rFonts w:ascii="Calibri" w:hAnsi="Calibri"/>
                <w:sz w:val="22"/>
              </w:rPr>
              <w:t>No quarterly EPS guide</w:t>
            </w:r>
          </w:p>
        </w:tc>
        <w:tc>
          <w:tcPr>
            <w:tcW w:type="dxa" w:w="1080"/>
          </w:tcPr>
          <w:p>
            <w:r>
              <w:rPr>
                <w:rFonts w:ascii="Calibri" w:hAnsi="Calibri"/>
                <w:sz w:val="22"/>
              </w:rPr>
              <w:t>No quarterly EPS guide</w:t>
            </w:r>
          </w:p>
        </w:tc>
        <w:tc>
          <w:tcPr>
            <w:tcW w:type="dxa" w:w="1080"/>
          </w:tcPr>
          <w:p>
            <w:r>
              <w:rPr>
                <w:rFonts w:ascii="Calibri" w:hAnsi="Calibri"/>
                <w:sz w:val="22"/>
              </w:rPr>
              <w:t>N/A</w:t>
            </w:r>
          </w:p>
        </w:tc>
        <w:tc>
          <w:tcPr>
            <w:tcW w:type="dxa" w:w="1080"/>
          </w:tcPr>
          <w:p>
            <w:r>
              <w:rPr>
                <w:rFonts w:ascii="Calibri" w:hAnsi="Calibri"/>
                <w:sz w:val="22"/>
              </w:rPr>
              <w:t>N/A (FY guide: +8–9%)</w:t>
            </w:r>
          </w:p>
        </w:tc>
      </w:tr>
      <w:tr>
        <w:tc>
          <w:tcPr>
            <w:tcW w:type="dxa" w:w="1080"/>
          </w:tcPr>
          <w:p>
            <w:r>
              <w:rPr>
                <w:rFonts w:ascii="Calibri" w:hAnsi="Calibri"/>
                <w:sz w:val="22"/>
              </w:rPr>
              <w:t>Comparable EPS — FY2026</w:t>
            </w:r>
          </w:p>
        </w:tc>
        <w:tc>
          <w:tcPr>
            <w:tcW w:type="dxa" w:w="1080"/>
          </w:tcPr>
          <w:p>
            <w:r>
              <w:rPr>
                <w:rFonts w:ascii="Calibri" w:hAnsi="Calibri"/>
                <w:sz w:val="22"/>
              </w:rPr>
              <w:t>$3.266</w:t>
            </w:r>
          </w:p>
        </w:tc>
        <w:tc>
          <w:tcPr>
            <w:tcW w:type="dxa" w:w="1080"/>
          </w:tcPr>
          <w:p>
            <w:r>
              <w:rPr>
                <w:rFonts w:ascii="Calibri" w:hAnsi="Calibri"/>
                <w:sz w:val="22"/>
              </w:rPr>
              <w:t>$3.268</w:t>
            </w:r>
          </w:p>
        </w:tc>
        <w:tc>
          <w:tcPr>
            <w:tcW w:type="dxa" w:w="1080"/>
          </w:tcPr>
          <w:p>
            <w:r>
              <w:rPr>
                <w:rFonts w:ascii="Calibri" w:hAnsi="Calibri"/>
                <w:sz w:val="22"/>
              </w:rPr>
              <w:t>+0.1%</w:t>
            </w:r>
          </w:p>
        </w:tc>
        <w:tc>
          <w:tcPr>
            <w:tcW w:type="dxa" w:w="1080"/>
          </w:tcPr>
          <w:p>
            <w:r>
              <w:rPr>
                <w:rFonts w:ascii="Calibri" w:hAnsi="Calibri"/>
                <w:sz w:val="22"/>
              </w:rPr>
              <w:t>+8–9% vs. $3.00 (=$3.24–$3.27)</w:t>
            </w:r>
          </w:p>
        </w:tc>
        <w:tc>
          <w:tcPr>
            <w:tcW w:type="dxa" w:w="1080"/>
          </w:tcPr>
          <w:p>
            <w:r>
              <w:rPr>
                <w:rFonts w:ascii="Calibri" w:hAnsi="Calibri"/>
                <w:sz w:val="22"/>
              </w:rPr>
              <w:t>Unchanged</w:t>
            </w:r>
          </w:p>
        </w:tc>
        <w:tc>
          <w:tcPr>
            <w:tcW w:type="dxa" w:w="1080"/>
          </w:tcPr>
          <w:p>
            <w:r>
              <w:rPr>
                <w:rFonts w:ascii="Calibri" w:hAnsi="Calibri"/>
                <w:sz w:val="22"/>
              </w:rPr>
              <w:t>No change</w:t>
            </w:r>
          </w:p>
        </w:tc>
        <w:tc>
          <w:tcPr>
            <w:tcW w:type="dxa" w:w="1080"/>
          </w:tcPr>
          <w:p>
            <w:r>
              <w:rPr>
                <w:rFonts w:ascii="Calibri" w:hAnsi="Calibri"/>
                <w:sz w:val="22"/>
              </w:rPr>
              <w:t>~+9% — at high end of guide</w:t>
            </w:r>
          </w:p>
        </w:tc>
      </w:tr>
      <w:tr>
        <w:tc>
          <w:tcPr>
            <w:tcW w:type="dxa" w:w="1080"/>
          </w:tcPr>
          <w:p>
            <w:r>
              <w:rPr>
                <w:rFonts w:ascii="Calibri" w:hAnsi="Calibri"/>
                <w:sz w:val="22"/>
              </w:rPr>
              <w:t>Net Operating Revenues — Q2 2026</w:t>
            </w:r>
          </w:p>
        </w:tc>
        <w:tc>
          <w:tcPr>
            <w:tcW w:type="dxa" w:w="1080"/>
          </w:tcPr>
          <w:p>
            <w:r>
              <w:rPr>
                <w:rFonts w:ascii="Calibri" w:hAnsi="Calibri"/>
                <w:sz w:val="22"/>
              </w:rPr>
              <w:t>$13.108B</w:t>
            </w:r>
          </w:p>
        </w:tc>
        <w:tc>
          <w:tcPr>
            <w:tcW w:type="dxa" w:w="1080"/>
          </w:tcPr>
          <w:p>
            <w:r>
              <w:rPr>
                <w:rFonts w:ascii="Calibri" w:hAnsi="Calibri"/>
                <w:sz w:val="22"/>
              </w:rPr>
              <w:t>$13.125B</w:t>
            </w:r>
          </w:p>
        </w:tc>
        <w:tc>
          <w:tcPr>
            <w:tcW w:type="dxa" w:w="1080"/>
          </w:tcPr>
          <w:p>
            <w:r>
              <w:rPr>
                <w:rFonts w:ascii="Calibri" w:hAnsi="Calibri"/>
                <w:sz w:val="22"/>
              </w:rPr>
              <w:t>+0.1%</w:t>
            </w:r>
          </w:p>
        </w:tc>
        <w:tc>
          <w:tcPr>
            <w:tcW w:type="dxa" w:w="1080"/>
          </w:tcPr>
          <w:p>
            <w:r>
              <w:rPr>
                <w:rFonts w:ascii="Calibri" w:hAnsi="Calibri"/>
                <w:sz w:val="22"/>
              </w:rPr>
              <w:t>No quarterly revenue guide</w:t>
            </w:r>
          </w:p>
        </w:tc>
        <w:tc>
          <w:tcPr>
            <w:tcW w:type="dxa" w:w="1080"/>
          </w:tcPr>
          <w:p>
            <w:r>
              <w:rPr>
                <w:rFonts w:ascii="Calibri" w:hAnsi="Calibri"/>
                <w:sz w:val="22"/>
              </w:rPr>
              <w:t>No quarterly revenue guide</w:t>
            </w:r>
          </w:p>
        </w:tc>
        <w:tc>
          <w:tcPr>
            <w:tcW w:type="dxa" w:w="1080"/>
          </w:tcPr>
          <w:p>
            <w:r>
              <w:rPr>
                <w:rFonts w:ascii="Calibri" w:hAnsi="Calibri"/>
                <w:sz w:val="22"/>
              </w:rPr>
              <w:t>N/A</w:t>
            </w:r>
          </w:p>
        </w:tc>
        <w:tc>
          <w:tcPr>
            <w:tcW w:type="dxa" w:w="1080"/>
          </w:tcPr>
          <w:p>
            <w:r>
              <w:rPr>
                <w:rFonts w:ascii="Calibri" w:hAnsi="Calibri"/>
                <w:sz w:val="22"/>
              </w:rPr>
              <w:t>N/A (FY guide: 4–5% organic)</w:t>
            </w:r>
          </w:p>
        </w:tc>
      </w:tr>
      <w:tr>
        <w:tc>
          <w:tcPr>
            <w:tcW w:type="dxa" w:w="1080"/>
          </w:tcPr>
          <w:p>
            <w:r>
              <w:rPr>
                <w:rFonts w:ascii="Calibri" w:hAnsi="Calibri"/>
                <w:sz w:val="22"/>
              </w:rPr>
              <w:t>Net Operating Revenues — FY2026</w:t>
            </w:r>
          </w:p>
        </w:tc>
        <w:tc>
          <w:tcPr>
            <w:tcW w:type="dxa" w:w="1080"/>
          </w:tcPr>
          <w:p>
            <w:r>
              <w:rPr>
                <w:rFonts w:ascii="Calibri" w:hAnsi="Calibri"/>
                <w:sz w:val="22"/>
              </w:rPr>
              <w:t>$48.989B</w:t>
            </w:r>
          </w:p>
        </w:tc>
        <w:tc>
          <w:tcPr>
            <w:tcW w:type="dxa" w:w="1080"/>
          </w:tcPr>
          <w:p>
            <w:r>
              <w:rPr>
                <w:rFonts w:ascii="Calibri" w:hAnsi="Calibri"/>
                <w:sz w:val="22"/>
              </w:rPr>
              <w:t>$48.989B</w:t>
            </w:r>
          </w:p>
        </w:tc>
        <w:tc>
          <w:tcPr>
            <w:tcW w:type="dxa" w:w="1080"/>
          </w:tcPr>
          <w:p>
            <w:r>
              <w:rPr>
                <w:rFonts w:ascii="Calibri" w:hAnsi="Calibri"/>
                <w:sz w:val="22"/>
              </w:rPr>
              <w:t>0.0%</w:t>
            </w:r>
          </w:p>
        </w:tc>
        <w:tc>
          <w:tcPr>
            <w:tcW w:type="dxa" w:w="1080"/>
          </w:tcPr>
          <w:p>
            <w:r>
              <w:rPr>
                <w:rFonts w:ascii="Calibri" w:hAnsi="Calibri"/>
                <w:sz w:val="22"/>
              </w:rPr>
              <w:t>4–5% organic growth</w:t>
            </w:r>
          </w:p>
        </w:tc>
        <w:tc>
          <w:tcPr>
            <w:tcW w:type="dxa" w:w="1080"/>
          </w:tcPr>
          <w:p>
            <w:r>
              <w:rPr>
                <w:rFonts w:ascii="Calibri" w:hAnsi="Calibri"/>
                <w:sz w:val="22"/>
              </w:rPr>
              <w:t>Unchanged</w:t>
            </w:r>
          </w:p>
        </w:tc>
        <w:tc>
          <w:tcPr>
            <w:tcW w:type="dxa" w:w="1080"/>
          </w:tcPr>
          <w:p>
            <w:r>
              <w:rPr>
                <w:rFonts w:ascii="Calibri" w:hAnsi="Calibri"/>
                <w:sz w:val="22"/>
              </w:rPr>
              <w:t>No change</w:t>
            </w:r>
          </w:p>
        </w:tc>
        <w:tc>
          <w:tcPr>
            <w:tcW w:type="dxa" w:w="1080"/>
          </w:tcPr>
          <w:p>
            <w:r>
              <w:rPr>
                <w:rFonts w:ascii="Calibri" w:hAnsi="Calibri"/>
                <w:sz w:val="22"/>
              </w:rPr>
              <w:t>In line with guidance</w:t>
            </w:r>
          </w:p>
        </w:tc>
      </w:tr>
      <w:tr>
        <w:tc>
          <w:tcPr>
            <w:tcW w:type="dxa" w:w="1080"/>
          </w:tcPr>
          <w:p>
            <w:r>
              <w:rPr>
                <w:rFonts w:ascii="Calibri" w:hAnsi="Calibri"/>
                <w:sz w:val="22"/>
              </w:rPr>
              <w:t>Total Organic Growth — Q2 2026</w:t>
            </w:r>
          </w:p>
        </w:tc>
        <w:tc>
          <w:tcPr>
            <w:tcW w:type="dxa" w:w="1080"/>
          </w:tcPr>
          <w:p>
            <w:r>
              <w:rPr>
                <w:rFonts w:ascii="Calibri" w:hAnsi="Calibri"/>
                <w:sz w:val="22"/>
              </w:rPr>
              <w:t>3.46%</w:t>
            </w:r>
          </w:p>
        </w:tc>
        <w:tc>
          <w:tcPr>
            <w:tcW w:type="dxa" w:w="1080"/>
          </w:tcPr>
          <w:p>
            <w:r>
              <w:rPr>
                <w:rFonts w:ascii="Calibri" w:hAnsi="Calibri"/>
                <w:sz w:val="22"/>
              </w:rPr>
              <w:t>3.49%</w:t>
            </w:r>
          </w:p>
        </w:tc>
        <w:tc>
          <w:tcPr>
            <w:tcW w:type="dxa" w:w="1080"/>
          </w:tcPr>
          <w:p>
            <w:r>
              <w:rPr>
                <w:rFonts w:ascii="Calibri" w:hAnsi="Calibri"/>
                <w:sz w:val="22"/>
              </w:rPr>
              <w:t>+0.1%</w:t>
            </w:r>
          </w:p>
        </w:tc>
        <w:tc>
          <w:tcPr>
            <w:tcW w:type="dxa" w:w="1080"/>
          </w:tcPr>
          <w:p>
            <w:r>
              <w:rPr>
                <w:rFonts w:ascii="Calibri" w:hAnsi="Calibri"/>
                <w:sz w:val="22"/>
              </w:rPr>
              <w:t>4–5% FY (no Q2 specific guide)</w:t>
            </w:r>
          </w:p>
        </w:tc>
        <w:tc>
          <w:tcPr>
            <w:tcW w:type="dxa" w:w="1080"/>
          </w:tcPr>
          <w:p>
            <w:r>
              <w:rPr>
                <w:rFonts w:ascii="Calibri" w:hAnsi="Calibri"/>
                <w:sz w:val="22"/>
              </w:rPr>
              <w:t>Unchanged</w:t>
            </w:r>
          </w:p>
        </w:tc>
        <w:tc>
          <w:tcPr>
            <w:tcW w:type="dxa" w:w="1080"/>
          </w:tcPr>
          <w:p>
            <w:r>
              <w:rPr>
                <w:rFonts w:ascii="Calibri" w:hAnsi="Calibri"/>
                <w:sz w:val="22"/>
              </w:rPr>
              <w:t>No change</w:t>
            </w:r>
          </w:p>
        </w:tc>
        <w:tc>
          <w:tcPr>
            <w:tcW w:type="dxa" w:w="1080"/>
          </w:tcPr>
          <w:p>
            <w:r>
              <w:rPr>
                <w:rFonts w:ascii="Calibri" w:hAnsi="Calibri"/>
                <w:sz w:val="22"/>
              </w:rPr>
              <w:t>~100–150 bps below FY guide midpoint</w:t>
            </w:r>
          </w:p>
        </w:tc>
      </w:tr>
    </w:tbl>
    <w:p>
      <w:r>
        <w:rPr>
          <w:rFonts w:ascii="Calibri" w:hAnsi="Calibri"/>
          <w:i/>
          <w:color w:val="525866"/>
          <w:sz w:val="22"/>
        </w:rPr>
        <w:t>Source: Visible Alpha Consensus and Actuals Data. Baseline date of May 3, 2026 represents 5 trading days after the April 28, 2026 Q1 2026 earnings release.</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KO has outperformed both the Consumer Staples sector (XLP) and the S&amp;P 500 since Q1 2026 earnings, rising ~7.3% vs. XLP +2.7% and SPY +3.8% (indexed from April 28, 2026). The outperformance is primarily sentiment- and multiple-driven — estimates barely moved — suggesting the stock has already priced in a solid Q2 print. The June 25 NA leadership announcement caused a brief dip but was quickly absorbed, indicating the market views it as a manageable transition rather than a structural concern.</w:t>
      </w:r>
    </w:p>
    <w:p>
      <w:r>
        <w:drawing>
          <wp:inline xmlns:a="http://schemas.openxmlformats.org/drawingml/2006/main" xmlns:pic="http://schemas.openxmlformats.org/drawingml/2006/picture">
            <wp:extent cx="5486400" cy="3918857"/>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486400" cy="3918857"/>
                    </a:xfrm>
                    <a:prstGeom prst="rect"/>
                  </pic:spPr>
                </pic:pic>
              </a:graphicData>
            </a:graphic>
          </wp:inline>
        </w:drawing>
      </w:r>
    </w:p>
    <w:p>
      <w:pPr>
        <w:jc w:val="center"/>
      </w:pPr>
      <w:r>
        <w:rPr>
          <w:i/>
          <w:color w:val="666666"/>
          <w:sz w:val="18"/>
        </w:rPr>
        <w:t>KO vs. XLP (Consumer Staples ETF) vs. S&amp;P 500 (SPY) — Indexed to 100 at April 28, 2026 (Q1 2026 Earnings Date). KO: +7.3%, XLP: +2.7%, SPY: +3.8% as of July 28, 2026. Source: Stock Price Data (Yahoo Finance).</w:t>
      </w:r>
    </w:p>
    <w:p>
      <w:r>
        <w:rPr>
          <w:rFonts w:ascii="Calibri" w:hAnsi="Calibri"/>
          <w:b/>
          <w:color w:val="525866"/>
          <w:sz w:val="22"/>
        </w:rPr>
        <w:t xml:space="preserve">Sector ETF: </w:t>
      </w:r>
      <w:r>
        <w:rPr>
          <w:rFonts w:ascii="Calibri" w:hAnsi="Calibri"/>
          <w:color w:val="525866"/>
          <w:sz w:val="22"/>
        </w:rPr>
        <w:t>XLP (Consumer Staples Select Sector SPDR Fund) is the appropriate benchmark for KO, capturing the non-alcoholic beverage, food, and household products sub-sector in which KO competes. Key events marked: (1) CEO James Quincey open-market sale of 200,000 shares (May 11, 2026) — executed under a 10b5-1 plan, no directional signal; (2) North America President Jennifer Mann departure announced (June 25, 2026) — brief dip quickly recovered.</w:t>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material development since Q1 earnings is the departure of North America President Jennifer Mann (effective August 1), which creates a leadership gap in KO's largest and most complex segment at the peak of the summer selling season. All other developments — FIFA World Cup activation, fairlife capacity ramp, and shareholder meeting outcomes — are broadly constructive.</w:t>
      </w:r>
    </w:p>
    <w:p>
      <w:pPr>
        <w:pStyle w:val="ListBullet"/>
        <w:ind w:left="360" w:hanging="360"/>
      </w:pPr>
      <w:r>
        <w:rPr>
          <w:rFonts w:ascii="Calibri" w:hAnsi="Calibri"/>
          <w:b/>
          <w:color w:val="525866"/>
          <w:sz w:val="22"/>
        </w:rPr>
        <w:t>June 25, 2026 — North America President Jennifer Mann to Depart (8-K):</w:t>
      </w:r>
      <w:r>
        <w:rPr>
          <w:rFonts w:ascii="Calibri" w:hAnsi="Calibri"/>
          <w:color w:val="525866"/>
          <w:sz w:val="22"/>
        </w:rPr>
        <w:t xml:space="preserve"> Mann will step down as EVP &amp; President, North America Operating Unit effective August 1, 2026, with CFO John Murphy assuming interim responsibility. Mann remains as senior advisor through April 2027. </w:t>
      </w:r>
      <w:r>
        <w:rPr>
          <w:rFonts w:ascii="Calibri" w:hAnsi="Calibri"/>
          <w:i/>
          <w:color w:val="525866"/>
          <w:sz w:val="22"/>
        </w:rPr>
        <w:t>Implication:</w:t>
      </w:r>
      <w:r>
        <w:rPr>
          <w:rFonts w:ascii="Calibri" w:hAnsi="Calibri"/>
          <w:color w:val="525866"/>
          <w:sz w:val="22"/>
        </w:rPr>
        <w:t xml:space="preserve"> Adds execution uncertainty to KO's largest segment (~35% of revenues) during peak summer season; Murphy's dual role as CFO and interim NA head is a meaningful bandwidth constraint heading into Q2 earnings. Successor not yet named.</w:t>
      </w:r>
    </w:p>
    <w:p>
      <w:pPr>
        <w:pStyle w:val="ListBullet"/>
        <w:ind w:left="360" w:hanging="360"/>
      </w:pPr>
      <w:r>
        <w:rPr>
          <w:rFonts w:ascii="Calibri" w:hAnsi="Calibri"/>
          <w:b/>
          <w:color w:val="525866"/>
          <w:sz w:val="22"/>
        </w:rPr>
        <w:t>April 28, 2026 — Q1 2026 Beat + FY2026 Guidance Raised:</w:t>
      </w:r>
      <w:r>
        <w:rPr>
          <w:rFonts w:ascii="Calibri" w:hAnsi="Calibri"/>
          <w:color w:val="525866"/>
          <w:sz w:val="22"/>
        </w:rPr>
        <w:t xml:space="preserve"> KO reported Q1 comparable EPS of $0.86 (+18% YoY), beating consensus by ~6.5%. FY2026 comparable EPS guidance raised to +8–9% (from +7–8%) on a 1-point tax rate reduction to 19.9%. Organic revenue guidance maintained at 4–5%. </w:t>
      </w:r>
      <w:r>
        <w:rPr>
          <w:rFonts w:ascii="Calibri" w:hAnsi="Calibri"/>
          <w:i/>
          <w:color w:val="525866"/>
          <w:sz w:val="22"/>
        </w:rPr>
        <w:t>Implication:</w:t>
      </w:r>
      <w:r>
        <w:rPr>
          <w:rFonts w:ascii="Calibri" w:hAnsi="Calibri"/>
          <w:color w:val="525866"/>
          <w:sz w:val="22"/>
        </w:rPr>
        <w:t xml:space="preserve"> Sets a clean, credible baseline for Q2; management's confidence in the full-year algorithm was explicit.</w:t>
      </w:r>
    </w:p>
    <w:p>
      <w:pPr>
        <w:pStyle w:val="ListBullet"/>
        <w:ind w:left="360" w:hanging="360"/>
      </w:pPr>
      <w:r>
        <w:rPr>
          <w:rFonts w:ascii="Calibri" w:hAnsi="Calibri"/>
          <w:b/>
          <w:color w:val="525866"/>
          <w:sz w:val="22"/>
        </w:rPr>
        <w:t>Q2 2026 — FIFA World Cup Activation Cycle:</w:t>
      </w:r>
      <w:r>
        <w:rPr>
          <w:rFonts w:ascii="Calibri" w:hAnsi="Calibri"/>
          <w:color w:val="525866"/>
          <w:sz w:val="22"/>
        </w:rPr>
        <w:t xml:space="preserve"> Management confirmed at Q1 earnings that FIFA World Cup activations (which began in Q1 in North America and Mexico) will be more fully realized in Q2. KO is the official non-alcoholic beverage partner of the 2026 FIFA World Cup hosted in North America. </w:t>
      </w:r>
      <w:r>
        <w:rPr>
          <w:rFonts w:ascii="Calibri" w:hAnsi="Calibri"/>
          <w:i/>
          <w:color w:val="525866"/>
          <w:sz w:val="22"/>
        </w:rPr>
        <w:t>Implication:</w:t>
      </w:r>
      <w:r>
        <w:rPr>
          <w:rFonts w:ascii="Calibri" w:hAnsi="Calibri"/>
          <w:color w:val="525866"/>
          <w:sz w:val="22"/>
        </w:rPr>
        <w:t xml:space="preserve"> Meaningful volume and revenue tailwind for Q2, particularly in North America and Latin America; away-from-home channel uplift expected.</w:t>
      </w:r>
    </w:p>
    <w:p>
      <w:pPr>
        <w:pStyle w:val="ListBullet"/>
        <w:ind w:left="360" w:hanging="360"/>
      </w:pPr>
      <w:r>
        <w:rPr>
          <w:rFonts w:ascii="Calibri" w:hAnsi="Calibri"/>
          <w:b/>
          <w:color w:val="525866"/>
          <w:sz w:val="22"/>
        </w:rPr>
        <w:t>Q2 2026 — fairlife Webster Facility Coming Online:</w:t>
      </w:r>
      <w:r>
        <w:rPr>
          <w:rFonts w:ascii="Calibri" w:hAnsi="Calibri"/>
          <w:color w:val="525866"/>
          <w:sz w:val="22"/>
        </w:rPr>
        <w:t xml:space="preserve"> Management guided that the Webster, TX fairlife production facility will begin coming online in Q2 2026 and ramp through the year, adding ~30% capacity to the fairlife platform. Production constraints were cited as a headwind to North America price/mix in Q1. </w:t>
      </w:r>
      <w:r>
        <w:rPr>
          <w:rFonts w:ascii="Calibri" w:hAnsi="Calibri"/>
          <w:i/>
          <w:color w:val="525866"/>
          <w:sz w:val="22"/>
        </w:rPr>
        <w:t>Implication:</w:t>
      </w:r>
      <w:r>
        <w:rPr>
          <w:rFonts w:ascii="Calibri" w:hAnsi="Calibri"/>
          <w:color w:val="525866"/>
          <w:sz w:val="22"/>
        </w:rPr>
        <w:t xml:space="preserve"> Positive for North America volume and price/mix in Q2 as constrained supply of Topo Chico and fairlife eases; a key watch item for the print.</w:t>
      </w:r>
    </w:p>
    <w:p>
      <w:pPr>
        <w:pStyle w:val="ListBullet"/>
        <w:ind w:left="360" w:hanging="360"/>
      </w:pPr>
      <w:r>
        <w:rPr>
          <w:rFonts w:ascii="Calibri" w:hAnsi="Calibri"/>
          <w:b/>
          <w:color w:val="525866"/>
          <w:sz w:val="22"/>
        </w:rPr>
        <w:t>Q2 2026 — Concentrate Shipment Timing Headwind:</w:t>
      </w:r>
      <w:r>
        <w:rPr>
          <w:rFonts w:ascii="Calibri" w:hAnsi="Calibri"/>
          <w:color w:val="525866"/>
          <w:sz w:val="22"/>
        </w:rPr>
        <w:t xml:space="preserve"> Management explicitly guided that Q2 concentrate shipments will lag unit cases by approximately 2 points, reversing the Q1 pull-forward. </w:t>
      </w:r>
      <w:r>
        <w:rPr>
          <w:rFonts w:ascii="Calibri" w:hAnsi="Calibri"/>
          <w:i/>
          <w:color w:val="525866"/>
          <w:sz w:val="22"/>
        </w:rPr>
        <w:t>Implication:</w:t>
      </w:r>
      <w:r>
        <w:rPr>
          <w:rFonts w:ascii="Calibri" w:hAnsi="Calibri"/>
          <w:color w:val="525866"/>
          <w:sz w:val="22"/>
        </w:rPr>
        <w:t xml:space="preserve"> Creates a known headwind to Q2 reported organic revenue growth vs. the underlying unit case trend; investors should focus on unit case volume rather than concentrate sales as the cleaner signal.</w:t>
      </w:r>
    </w:p>
    <w:p>
      <w:pPr>
        <w:pStyle w:val="ListBullet"/>
        <w:ind w:left="360" w:hanging="360"/>
      </w:pPr>
      <w:r>
        <w:rPr>
          <w:rFonts w:ascii="Calibri" w:hAnsi="Calibri"/>
          <w:b/>
          <w:color w:val="525866"/>
          <w:sz w:val="22"/>
        </w:rPr>
        <w:t>May 1, 2026 — Annual Shareholder Meeting:</w:t>
      </w:r>
      <w:r>
        <w:rPr>
          <w:rFonts w:ascii="Calibri" w:hAnsi="Calibri"/>
          <w:color w:val="525866"/>
          <w:sz w:val="22"/>
        </w:rPr>
        <w:t xml:space="preserve"> KO shareholders backed management and rejected all ESG-related shareholder proposals at the 2026 Annual Meeting. </w:t>
      </w:r>
      <w:r>
        <w:rPr>
          <w:rFonts w:ascii="Calibri" w:hAnsi="Calibri"/>
          <w:i/>
          <w:color w:val="525866"/>
          <w:sz w:val="22"/>
        </w:rPr>
        <w:t>Implication:</w:t>
      </w:r>
      <w:r>
        <w:rPr>
          <w:rFonts w:ascii="Calibri" w:hAnsi="Calibri"/>
          <w:color w:val="525866"/>
          <w:sz w:val="22"/>
        </w:rPr>
        <w:t xml:space="preserve"> No governance disruption; management retains full operational mandate.</w:t>
      </w:r>
    </w:p>
    <w:p>
      <w:pPr>
        <w:pStyle w:val="ListBullet"/>
        <w:ind w:left="360" w:hanging="360"/>
      </w:pPr>
      <w:r>
        <w:rPr>
          <w:rFonts w:ascii="Calibri" w:hAnsi="Calibri"/>
          <w:b/>
          <w:color w:val="525866"/>
          <w:sz w:val="22"/>
        </w:rPr>
        <w:t>May 19, 2026 — dbAccess Global Consumer Conference Participation:</w:t>
      </w:r>
      <w:r>
        <w:rPr>
          <w:rFonts w:ascii="Calibri" w:hAnsi="Calibri"/>
          <w:color w:val="525866"/>
          <w:sz w:val="22"/>
        </w:rPr>
        <w:t xml:space="preserve"> KO announced participation in the Deutsche Bank Global Consumer Conference 2026. No material guidance revision was disclosed. </w:t>
      </w:r>
      <w:r>
        <w:rPr>
          <w:rFonts w:ascii="Calibri" w:hAnsi="Calibri"/>
          <w:i/>
          <w:color w:val="525866"/>
          <w:sz w:val="22"/>
        </w:rPr>
        <w:t>Implication:</w:t>
      </w:r>
      <w:r>
        <w:rPr>
          <w:rFonts w:ascii="Calibri" w:hAnsi="Calibri"/>
          <w:color w:val="525866"/>
          <w:sz w:val="22"/>
        </w:rPr>
        <w:t xml:space="preserve"> Routine investor relations activity; no incremental signal.</w:t>
      </w:r>
    </w:p>
    <w:p>
      <w:pPr>
        <w:pStyle w:val="ListBullet"/>
        <w:ind w:left="360" w:hanging="360"/>
      </w:pPr>
      <w:r>
        <w:rPr>
          <w:rFonts w:ascii="Calibri" w:hAnsi="Calibri"/>
          <w:b/>
          <w:color w:val="525866"/>
          <w:sz w:val="22"/>
        </w:rPr>
        <w:t>Ongoing — IRS Tax Case Optionality:</w:t>
      </w:r>
      <w:r>
        <w:rPr>
          <w:rFonts w:ascii="Calibri" w:hAnsi="Calibri"/>
          <w:color w:val="525866"/>
          <w:sz w:val="22"/>
        </w:rPr>
        <w:t xml:space="preserve"> The pending IRS tax case continues to shape capital allocation. Murphy has articulated that debt reduction is the preferred use of excess capital until the case is resolved, preserving optionality for acquisitions or buybacks. </w:t>
      </w:r>
      <w:r>
        <w:rPr>
          <w:rFonts w:ascii="Calibri" w:hAnsi="Calibri"/>
          <w:i/>
          <w:color w:val="525866"/>
          <w:sz w:val="22"/>
        </w:rPr>
        <w:t>Implication:</w:t>
      </w:r>
      <w:r>
        <w:rPr>
          <w:rFonts w:ascii="Calibri" w:hAnsi="Calibri"/>
          <w:color w:val="525866"/>
          <w:sz w:val="22"/>
        </w:rPr>
        <w:t xml:space="preserve"> No near-term capital return surprise expected; watch for any update on case timeline.</w:t>
      </w:r>
    </w:p>
    <w:p>
      <w:pPr>
        <w:pStyle w:val="ListBullet"/>
        <w:ind w:left="360" w:hanging="360"/>
      </w:pPr>
      <w:r>
        <w:rPr>
          <w:rFonts w:ascii="Calibri" w:hAnsi="Calibri"/>
          <w:b/>
          <w:color w:val="525866"/>
          <w:sz w:val="22"/>
        </w:rPr>
        <w:t>Ongoing — CCBA (Coca-Cola Beverages Africa) Divestiture:</w:t>
      </w:r>
      <w:r>
        <w:rPr>
          <w:rFonts w:ascii="Calibri" w:hAnsi="Calibri"/>
          <w:color w:val="525866"/>
          <w:sz w:val="22"/>
        </w:rPr>
        <w:t xml:space="preserve"> The pending sale of CCBA remains subject to regulatory approvals and is assumed to close in H2 2026. Completion would remove a lower-margin bottling business and improve the overall company margin profile. </w:t>
      </w:r>
      <w:r>
        <w:rPr>
          <w:rFonts w:ascii="Calibri" w:hAnsi="Calibri"/>
          <w:i/>
          <w:color w:val="525866"/>
          <w:sz w:val="22"/>
        </w:rPr>
        <w:t>Implication:</w:t>
      </w:r>
      <w:r>
        <w:rPr>
          <w:rFonts w:ascii="Calibri" w:hAnsi="Calibri"/>
          <w:color w:val="525866"/>
          <w:sz w:val="22"/>
        </w:rPr>
        <w:t xml:space="preserve"> Margin tailwind in H2 2026 if closes on schedule; watch for regulatory update.</w:t>
      </w:r>
    </w:p>
    <w:p>
      <w:r>
        <w:br w:type="page"/>
      </w:r>
    </w:p>
    <w:p>
      <w:pPr>
        <w:pStyle w:val="Heading2"/>
      </w:pPr>
      <w:r>
        <w:rPr>
          <w:rFonts w:ascii="Calibri" w:hAnsi="Calibri"/>
          <w:b/>
          <w:color w:val="3B4259"/>
          <w:sz w:val="28"/>
        </w:rPr>
        <w:t>7. Peer Commentaries — Q2 2026 Read-Through</w:t>
      </w:r>
    </w:p>
    <w:p>
      <w:r>
        <w:rPr>
          <w:rFonts w:ascii="Calibri" w:hAnsi="Calibri"/>
          <w:b/>
          <w:color w:val="525866"/>
          <w:sz w:val="22"/>
        </w:rPr>
        <w:t xml:space="preserve">Key Takeaway: </w:t>
      </w:r>
      <w:r>
        <w:rPr>
          <w:rFonts w:ascii="Calibri" w:hAnsi="Calibri"/>
          <w:color w:val="525866"/>
          <w:sz w:val="22"/>
        </w:rPr>
        <w:t>Peer commentary from Q1 2026 earnings calls (reported April–May 2026) and PepsiCo's Q2 2026 results (reported July 9, 2026) paint a constructive but nuanced picture for KO's Q2: the energy and beverage categories remain healthy, FIFA World Cup is a real volume catalyst, and pricing is holding — but the consumer backdrop softened in April–May (particularly for lower-income cohorts and Hispanic consumers), with a modest re-acceleration in June. The read-through is net positive for KO's volume algorithm but flags execution risk on price/mix.</w:t>
      </w:r>
    </w:p>
    <w:p>
      <w:pPr>
        <w:pStyle w:val="Heading3"/>
      </w:pPr>
      <w:r>
        <w:rPr>
          <w:rFonts w:ascii="Calibri" w:hAnsi="Calibri"/>
          <w:b/>
          <w:color w:val="3B4259"/>
          <w:sz w:val="24"/>
        </w:rPr>
        <w:t>PepsiCo (PEP) — Q2 2026 Results (Reported July 9, 2026)</w:t>
      </w:r>
    </w:p>
    <w:p>
      <w:r>
        <w:rPr>
          <w:rFonts w:ascii="Calibri" w:hAnsi="Calibri"/>
          <w:i/>
          <w:color w:val="525866"/>
          <w:sz w:val="22"/>
        </w:rPr>
        <w:t>Most directly relevant peer; reports the same calendar quarter as KO Q2 2026.</w:t>
      </w:r>
    </w:p>
    <w:p>
      <w:pPr>
        <w:pStyle w:val="ListBullet"/>
        <w:ind w:left="360" w:hanging="360"/>
      </w:pPr>
      <w:r>
        <w:rPr>
          <w:rFonts w:ascii="Calibri" w:hAnsi="Calibri"/>
          <w:b/>
          <w:color w:val="525866"/>
          <w:sz w:val="22"/>
        </w:rPr>
        <w:t>Global beverage volume recovery is real but uneven:</w:t>
      </w:r>
      <w:r>
        <w:rPr>
          <w:rFonts w:ascii="Calibri" w:hAnsi="Calibri"/>
          <w:color w:val="525866"/>
          <w:sz w:val="22"/>
        </w:rPr>
        <w:t xml:space="preserve"> PEP's International Beverages Franchise (IBFranchise) delivered +5% volume growth in Q2, and EMEA beverages +1%, with organic volume growth across Asia Pacific and EMEA. However, PepsiCo Beverages North America (PBNA) saw organic volume decline of -2% in Q2 (and -3% YTD). </w:t>
      </w:r>
      <w:r>
        <w:rPr>
          <w:rFonts w:ascii="Calibri" w:hAnsi="Calibri"/>
          <w:i/>
          <w:color w:val="525866"/>
          <w:sz w:val="22"/>
        </w:rPr>
        <w:t>KO read-through:</w:t>
      </w:r>
      <w:r>
        <w:rPr>
          <w:rFonts w:ascii="Calibri" w:hAnsi="Calibri"/>
          <w:color w:val="525866"/>
          <w:sz w:val="22"/>
        </w:rPr>
        <w:t xml:space="preserve"> International volume momentum is a positive signal for KO's EMEA and APAC segments. North America volume softness at PEP is a caution flag, though KO's NA portfolio (Coke Zero Sugar, fairlife, Topo Chico) is more differentiated than PEP's carbonated portfolio.</w:t>
      </w:r>
    </w:p>
    <w:p>
      <w:pPr>
        <w:pStyle w:val="ListBullet"/>
        <w:ind w:left="360" w:hanging="360"/>
      </w:pPr>
      <w:r>
        <w:rPr>
          <w:rFonts w:ascii="Calibri" w:hAnsi="Calibri"/>
          <w:b/>
          <w:color w:val="525866"/>
          <w:sz w:val="22"/>
        </w:rPr>
        <w:t>Pricing holding globally, but North America pricing power is modest:</w:t>
      </w:r>
      <w:r>
        <w:rPr>
          <w:rFonts w:ascii="Calibri" w:hAnsi="Calibri"/>
          <w:color w:val="525866"/>
          <w:sz w:val="22"/>
        </w:rPr>
        <w:t xml:space="preserve"> PEP's effective net pricing contributed +3% to PBNA organic revenue in Q2 and +2% to total company organic revenue. Total company organic revenue grew +2.4% in Q2. </w:t>
      </w:r>
      <w:r>
        <w:rPr>
          <w:rFonts w:ascii="Calibri" w:hAnsi="Calibri"/>
          <w:i/>
          <w:color w:val="525866"/>
          <w:sz w:val="22"/>
        </w:rPr>
        <w:t>KO read-through:</w:t>
      </w:r>
      <w:r>
        <w:rPr>
          <w:rFonts w:ascii="Calibri" w:hAnsi="Calibri"/>
          <w:color w:val="525866"/>
          <w:sz w:val="22"/>
        </w:rPr>
        <w:t xml:space="preserve"> Consistent with KO's own guidance of a balanced volume/price-mix algorithm; pricing is not collapsing but is normalizing from the 2022–2024 inflation-driven peak.</w:t>
      </w:r>
    </w:p>
    <w:p>
      <w:pPr>
        <w:pStyle w:val="ListBullet"/>
        <w:ind w:left="360" w:hanging="360"/>
      </w:pPr>
      <w:r>
        <w:rPr>
          <w:rFonts w:ascii="Calibri" w:hAnsi="Calibri"/>
          <w:b/>
          <w:color w:val="525866"/>
          <w:sz w:val="22"/>
        </w:rPr>
        <w:t>FY2026 guidance affirmed:</w:t>
      </w:r>
      <w:r>
        <w:rPr>
          <w:rFonts w:ascii="Calibri" w:hAnsi="Calibri"/>
          <w:color w:val="525866"/>
          <w:sz w:val="22"/>
        </w:rPr>
        <w:t xml:space="preserve"> PEP reaffirmed organic revenue growth of +2–4% and core constant currency EPS growth of +4–6% for FY2026. </w:t>
      </w:r>
      <w:r>
        <w:rPr>
          <w:rFonts w:ascii="Calibri" w:hAnsi="Calibri"/>
          <w:i/>
          <w:color w:val="525866"/>
          <w:sz w:val="22"/>
        </w:rPr>
        <w:t>KO read-through:</w:t>
      </w:r>
      <w:r>
        <w:rPr>
          <w:rFonts w:ascii="Calibri" w:hAnsi="Calibri"/>
          <w:color w:val="525866"/>
          <w:sz w:val="22"/>
        </w:rPr>
        <w:t xml:space="preserve"> Stable guidance from the closest peer reduces the risk of a macro-driven guidance cut from KO; the category backdrop is not deteriorating.</w:t>
      </w:r>
    </w:p>
    <w:p>
      <w:pPr>
        <w:pStyle w:val="Heading3"/>
      </w:pPr>
      <w:r>
        <w:rPr>
          <w:rFonts w:ascii="Calibri" w:hAnsi="Calibri"/>
          <w:b/>
          <w:color w:val="3B4259"/>
          <w:sz w:val="24"/>
        </w:rPr>
        <w:t>Constellation Brands (STZ) — Q1 FY2027 Results (Reported July 1, 2026)</w:t>
      </w:r>
    </w:p>
    <w:p>
      <w:r>
        <w:rPr>
          <w:rFonts w:ascii="Calibri" w:hAnsi="Calibri"/>
          <w:i/>
          <w:color w:val="525866"/>
          <w:sz w:val="22"/>
        </w:rPr>
        <w:t>Reports the April–June 2026 calendar quarter (same as KO Q2 2026). Premium beer/beverage consumer dynamics are a relevant read-through.</w:t>
      </w:r>
    </w:p>
    <w:p>
      <w:pPr>
        <w:pStyle w:val="ListBullet"/>
        <w:ind w:left="360" w:hanging="360"/>
      </w:pPr>
      <w:r>
        <w:rPr>
          <w:rFonts w:ascii="Calibri" w:hAnsi="Calibri"/>
          <w:b/>
          <w:color w:val="525866"/>
          <w:sz w:val="22"/>
        </w:rPr>
        <w:t>Consumer softness in April–May, re-acceleration in June:</w:t>
      </w:r>
      <w:r>
        <w:rPr>
          <w:rFonts w:ascii="Calibri" w:hAnsi="Calibri"/>
          <w:color w:val="525866"/>
          <w:sz w:val="22"/>
        </w:rPr>
        <w:t xml:space="preserve"> STZ described a "very strong March," followed by a consumer slowdown in April and May driven by a "massive spike in gas prices" (up 40–70% in key markets), with a "modest re-acceleration" in June as headwinds moderated. The company characterized the recovery as "pretty broad based" and tied to headwinds abating rather than one-time tailwinds. </w:t>
      </w:r>
      <w:r>
        <w:rPr>
          <w:rFonts w:ascii="Calibri" w:hAnsi="Calibri"/>
          <w:i/>
          <w:color w:val="525866"/>
          <w:sz w:val="22"/>
        </w:rPr>
        <w:t>KO read-through:</w:t>
      </w:r>
      <w:r>
        <w:rPr>
          <w:rFonts w:ascii="Calibri" w:hAnsi="Calibri"/>
          <w:color w:val="525866"/>
          <w:sz w:val="22"/>
        </w:rPr>
        <w:t xml:space="preserve"> The April–May consumer softness is a caution flag for KO's Q2 volume, particularly in convenience and away-from-home channels. The June re-acceleration is encouraging and aligns with FIFA World Cup activation timing (concentrated in June–July per AB InBev data).</w:t>
      </w:r>
    </w:p>
    <w:p>
      <w:pPr>
        <w:pStyle w:val="ListBullet"/>
        <w:ind w:left="360" w:hanging="360"/>
      </w:pPr>
      <w:r>
        <w:rPr>
          <w:rFonts w:ascii="Calibri" w:hAnsi="Calibri"/>
          <w:b/>
          <w:color w:val="525866"/>
          <w:sz w:val="22"/>
        </w:rPr>
        <w:t>K-shaped consumer behavior is intensifying:</w:t>
      </w:r>
      <w:r>
        <w:rPr>
          <w:rFonts w:ascii="Calibri" w:hAnsi="Calibri"/>
          <w:color w:val="525866"/>
          <w:sz w:val="22"/>
        </w:rPr>
        <w:t xml:space="preserve"> STZ explicitly flagged a "k-shaped economy" with Hispanic consumers "even more adversely impacted" by macro headwinds, though the gap vs. general population has improved. Premium brands (Corona Non-Alcohol: strong double-digit growth) are outperforming value-oriented SKUs. </w:t>
      </w:r>
      <w:r>
        <w:rPr>
          <w:rFonts w:ascii="Calibri" w:hAnsi="Calibri"/>
          <w:i/>
          <w:color w:val="525866"/>
          <w:sz w:val="22"/>
        </w:rPr>
        <w:t>KO read-through:</w:t>
      </w:r>
      <w:r>
        <w:rPr>
          <w:rFonts w:ascii="Calibri" w:hAnsi="Calibri"/>
          <w:color w:val="525866"/>
          <w:sz w:val="22"/>
        </w:rPr>
        <w:t xml:space="preserve"> Consistent with KO management's own Q1 commentary that lower-income consumers face cumulative purchasing power pressure where 'the math doesn't work.' KO's price-pack architecture and affordability-driven RGM initiatives in Asia Pacific and Latin America are the right strategic response.</w:t>
      </w:r>
    </w:p>
    <w:p>
      <w:pPr>
        <w:pStyle w:val="ListBullet"/>
        <w:ind w:left="360" w:hanging="360"/>
      </w:pPr>
      <w:r>
        <w:rPr>
          <w:rFonts w:ascii="Calibri" w:hAnsi="Calibri"/>
          <w:b/>
          <w:color w:val="525866"/>
          <w:sz w:val="22"/>
        </w:rPr>
        <w:t>FIFA World Cup is a real but concentrated catalyst:</w:t>
      </w:r>
      <w:r>
        <w:rPr>
          <w:rFonts w:ascii="Calibri" w:hAnsi="Calibri"/>
          <w:color w:val="525866"/>
          <w:sz w:val="22"/>
        </w:rPr>
        <w:t xml:space="preserve"> STZ noted the World Cup and Knicks playoff run drove meaningful on-premise and off-premise engagement, with the company increasing marketing spend to over 10% of net sales in Q2 and Q3. </w:t>
      </w:r>
      <w:r>
        <w:rPr>
          <w:rFonts w:ascii="Calibri" w:hAnsi="Calibri"/>
          <w:i/>
          <w:color w:val="525866"/>
          <w:sz w:val="22"/>
        </w:rPr>
        <w:t>KO read-through:</w:t>
      </w:r>
      <w:r>
        <w:rPr>
          <w:rFonts w:ascii="Calibri" w:hAnsi="Calibri"/>
          <w:color w:val="525866"/>
          <w:sz w:val="22"/>
        </w:rPr>
        <w:t xml:space="preserve"> Validates KO's FIFA activation strategy; the event is a genuine volume catalyst for beverages in June–July, particularly in North America and Latin America.</w:t>
      </w:r>
    </w:p>
    <w:p>
      <w:pPr>
        <w:pStyle w:val="Heading3"/>
      </w:pPr>
      <w:r>
        <w:rPr>
          <w:rFonts w:ascii="Calibri" w:hAnsi="Calibri"/>
          <w:b/>
          <w:color w:val="3B4259"/>
          <w:sz w:val="24"/>
        </w:rPr>
        <w:t>AB InBev (BUD) — Q1 2026 Results (Reported May 5, 2026)</w:t>
      </w:r>
    </w:p>
    <w:p>
      <w:r>
        <w:rPr>
          <w:rFonts w:ascii="Calibri" w:hAnsi="Calibri"/>
          <w:i/>
          <w:color w:val="525866"/>
          <w:sz w:val="22"/>
        </w:rPr>
        <w:t>Reports January–March 2026 (one quarter ahead of KO Q2). Global beverage volume and FIFA World Cup commentary are relevant read-throughs.</w:t>
      </w:r>
    </w:p>
    <w:p>
      <w:pPr>
        <w:pStyle w:val="ListBullet"/>
        <w:ind w:left="360" w:hanging="360"/>
      </w:pPr>
      <w:r>
        <w:rPr>
          <w:rFonts w:ascii="Calibri" w:hAnsi="Calibri"/>
          <w:b/>
          <w:color w:val="525866"/>
          <w:sz w:val="22"/>
        </w:rPr>
        <w:t>Global beverage volumes are healthy, with record highs in key markets:</w:t>
      </w:r>
      <w:r>
        <w:rPr>
          <w:rFonts w:ascii="Calibri" w:hAnsi="Calibri"/>
          <w:color w:val="525866"/>
          <w:sz w:val="22"/>
        </w:rPr>
        <w:t xml:space="preserve"> BUD reported +1.2% global beer volume growth in Q1, with record first-quarter volumes in Mexico, Colombia, Brazil, South Africa, and Peru. Revenue grew +5.8% driven by disciplined revenue management and premiumization. </w:t>
      </w:r>
      <w:r>
        <w:rPr>
          <w:rFonts w:ascii="Calibri" w:hAnsi="Calibri"/>
          <w:i/>
          <w:color w:val="525866"/>
          <w:sz w:val="22"/>
        </w:rPr>
        <w:t>KO read-through:</w:t>
      </w:r>
      <w:r>
        <w:rPr>
          <w:rFonts w:ascii="Calibri" w:hAnsi="Calibri"/>
          <w:color w:val="525866"/>
          <w:sz w:val="22"/>
        </w:rPr>
        <w:t xml:space="preserve"> Positive signal for KO's Latin America and EMEA volume outlook; the markets where BUD saw record volumes (Mexico, Brazil, Colombia) are also key KO markets. Mexico volume recovery is particularly relevant given KO's sugar tax headwind commentary.</w:t>
      </w:r>
    </w:p>
    <w:p>
      <w:pPr>
        <w:pStyle w:val="ListBullet"/>
        <w:ind w:left="360" w:hanging="360"/>
      </w:pPr>
      <w:r>
        <w:rPr>
          <w:rFonts w:ascii="Calibri" w:hAnsi="Calibri"/>
          <w:b/>
          <w:color w:val="525866"/>
          <w:sz w:val="22"/>
        </w:rPr>
        <w:t>FIFA World Cup volume uplift is real but concentrated in June–July:</w:t>
      </w:r>
      <w:r>
        <w:rPr>
          <w:rFonts w:ascii="Calibri" w:hAnsi="Calibri"/>
          <w:color w:val="525866"/>
          <w:sz w:val="22"/>
        </w:rPr>
        <w:t xml:space="preserve"> BUD quantified the FIFA World Cup contribution at "historically 20–30 basis points of the year's volume globally, concentrated in June and July." The company noted World Cup inventory buildup would occur at the back end of Q2, not in Q1. SG&amp;A will be heavier in Q2 and Q3 due to World Cup marketing. </w:t>
      </w:r>
      <w:r>
        <w:rPr>
          <w:rFonts w:ascii="Calibri" w:hAnsi="Calibri"/>
          <w:i/>
          <w:color w:val="525866"/>
          <w:sz w:val="22"/>
        </w:rPr>
        <w:t>KO read-through:</w:t>
      </w:r>
      <w:r>
        <w:rPr>
          <w:rFonts w:ascii="Calibri" w:hAnsi="Calibri"/>
          <w:color w:val="525866"/>
          <w:sz w:val="22"/>
        </w:rPr>
        <w:t xml:space="preserve"> Directly validates KO's Q2 FIFA activation timing. The 20–30 bps global volume uplift from FIFA is a meaningful tailwind for KO's Q2 unit case volume, particularly given KO's status as the official non-alcoholic beverage partner.</w:t>
      </w:r>
    </w:p>
    <w:p>
      <w:pPr>
        <w:pStyle w:val="ListBullet"/>
        <w:ind w:left="360" w:hanging="360"/>
      </w:pPr>
      <w:r>
        <w:rPr>
          <w:rFonts w:ascii="Calibri" w:hAnsi="Calibri"/>
          <w:b/>
          <w:color w:val="525866"/>
          <w:sz w:val="22"/>
        </w:rPr>
        <w:t>Consumer sentiment is manageable now but inflation risks are building:</w:t>
      </w:r>
      <w:r>
        <w:rPr>
          <w:rFonts w:ascii="Calibri" w:hAnsi="Calibri"/>
          <w:color w:val="525866"/>
          <w:sz w:val="22"/>
        </w:rPr>
        <w:t xml:space="preserve"> BUD CEO Doukeris noted that "at the beginning of 2026, conditions were more benign" but flagged that rising energy costs and potential inflation implications "typically take 3 to 6 months to hit consumers," with compounding risks toward year-end. </w:t>
      </w:r>
      <w:r>
        <w:rPr>
          <w:rFonts w:ascii="Calibri" w:hAnsi="Calibri"/>
          <w:i/>
          <w:color w:val="525866"/>
          <w:sz w:val="22"/>
        </w:rPr>
        <w:t>KO read-through:</w:t>
      </w:r>
      <w:r>
        <w:rPr>
          <w:rFonts w:ascii="Calibri" w:hAnsi="Calibri"/>
          <w:color w:val="525866"/>
          <w:sz w:val="22"/>
        </w:rPr>
        <w:t xml:space="preserve"> Near-term (Q2) consumer backdrop is manageable; the risk is more of an H2 2026 story. Consistent with KO's own "all weather" playbook framing.</w:t>
      </w:r>
    </w:p>
    <w:p>
      <w:pPr>
        <w:pStyle w:val="ListBullet"/>
        <w:ind w:left="360" w:hanging="360"/>
      </w:pPr>
      <w:r>
        <w:rPr>
          <w:rFonts w:ascii="Calibri" w:hAnsi="Calibri"/>
          <w:b/>
          <w:color w:val="525866"/>
          <w:sz w:val="22"/>
        </w:rPr>
        <w:t>Non-alcohol and premium segments are outperforming:</w:t>
      </w:r>
      <w:r>
        <w:rPr>
          <w:rFonts w:ascii="Calibri" w:hAnsi="Calibri"/>
          <w:color w:val="525866"/>
          <w:sz w:val="22"/>
        </w:rPr>
        <w:t xml:space="preserve"> BUD's non-alcohol beer portfolio delivered +27% revenue growth, with an estimated 60% of volume from new occasions and new consumers. Premium and super-premium beer brands grew low-20s% in Brazil. </w:t>
      </w:r>
      <w:r>
        <w:rPr>
          <w:rFonts w:ascii="Calibri" w:hAnsi="Calibri"/>
          <w:i/>
          <w:color w:val="525866"/>
          <w:sz w:val="22"/>
        </w:rPr>
        <w:t>KO read-through:</w:t>
      </w:r>
      <w:r>
        <w:rPr>
          <w:rFonts w:ascii="Calibri" w:hAnsi="Calibri"/>
          <w:color w:val="525866"/>
          <w:sz w:val="22"/>
        </w:rPr>
        <w:t xml:space="preserve"> Validates the premiumization and health/wellness trend that underpins KO's fairlife, Topo Chico, and Coke Zero Sugar growth vectors.</w:t>
      </w:r>
    </w:p>
    <w:p>
      <w:pPr>
        <w:pStyle w:val="Heading3"/>
      </w:pPr>
      <w:r>
        <w:rPr>
          <w:rFonts w:ascii="Calibri" w:hAnsi="Calibri"/>
          <w:b/>
          <w:color w:val="3B4259"/>
          <w:sz w:val="24"/>
        </w:rPr>
        <w:t>Monster Beverage (MNST) — Q1 2026 Results (Reported May 7, 2026)</w:t>
      </w:r>
    </w:p>
    <w:p>
      <w:r>
        <w:rPr>
          <w:rFonts w:ascii="Calibri" w:hAnsi="Calibri"/>
          <w:i/>
          <w:color w:val="525866"/>
          <w:sz w:val="22"/>
        </w:rPr>
        <w:t>KO is MNST's distribution partner globally via the Coca-Cola system. MNST's performance is a direct read-through for KO's energy drink distribution economics and the health of the energy category.</w:t>
      </w:r>
    </w:p>
    <w:p>
      <w:pPr>
        <w:pStyle w:val="ListBullet"/>
        <w:ind w:left="360" w:hanging="360"/>
      </w:pPr>
      <w:r>
        <w:rPr>
          <w:rFonts w:ascii="Calibri" w:hAnsi="Calibri"/>
          <w:b/>
          <w:color w:val="525866"/>
          <w:sz w:val="22"/>
        </w:rPr>
        <w:t>Energy drink category is one of the strongest-performing in beverages:</w:t>
      </w:r>
      <w:r>
        <w:rPr>
          <w:rFonts w:ascii="Calibri" w:hAnsi="Calibri"/>
          <w:color w:val="525866"/>
          <w:sz w:val="22"/>
        </w:rPr>
        <w:t xml:space="preserve"> MNST reported Q1 net sales of $2.35B (+26.9% YoY), crossing the $2B quarterly threshold for the first time. U.S. energy drink category sales grew +10.7% in the 13 weeks through April 25, 2026 (Nielsen, all outlets). EMEA energy category grew +10.5% FX-neutral, APAC +16.7%, LATAM +15.6%. </w:t>
      </w:r>
      <w:r>
        <w:rPr>
          <w:rFonts w:ascii="Calibri" w:hAnsi="Calibri"/>
          <w:i/>
          <w:color w:val="525866"/>
          <w:sz w:val="22"/>
        </w:rPr>
        <w:t>KO read-through:</w:t>
      </w:r>
      <w:r>
        <w:rPr>
          <w:rFonts w:ascii="Calibri" w:hAnsi="Calibri"/>
          <w:color w:val="525866"/>
          <w:sz w:val="22"/>
        </w:rPr>
        <w:t xml:space="preserve"> The energy category is a structural growth driver for KO's distribution system. MNST's strong performance validates the energy need-state that KO management has described as a "fuel need set" spanning energy, sports, and sparkling categories.</w:t>
      </w:r>
    </w:p>
    <w:p>
      <w:pPr>
        <w:pStyle w:val="ListBullet"/>
        <w:ind w:left="360" w:hanging="360"/>
      </w:pPr>
      <w:r>
        <w:rPr>
          <w:rFonts w:ascii="Calibri" w:hAnsi="Calibri"/>
          <w:b/>
          <w:color w:val="525866"/>
          <w:sz w:val="22"/>
        </w:rPr>
        <w:t>Pricing actions from late 2025 are holding and working:</w:t>
      </w:r>
      <w:r>
        <w:rPr>
          <w:rFonts w:ascii="Calibri" w:hAnsi="Calibri"/>
          <w:color w:val="525866"/>
          <w:sz w:val="22"/>
        </w:rPr>
        <w:t xml:space="preserve"> MNST confirmed that "pricing actions implemented last fall continue to perform as expected" and that "modest inflation is working, continuing to deliver volume and revenue growth." The company continues to review opportunities for further price increases domestically and internationally. </w:t>
      </w:r>
      <w:r>
        <w:rPr>
          <w:rFonts w:ascii="Calibri" w:hAnsi="Calibri"/>
          <w:i/>
          <w:color w:val="525866"/>
          <w:sz w:val="22"/>
        </w:rPr>
        <w:t>KO read-through:</w:t>
      </w:r>
      <w:r>
        <w:rPr>
          <w:rFonts w:ascii="Calibri" w:hAnsi="Calibri"/>
          <w:color w:val="525866"/>
          <w:sz w:val="22"/>
        </w:rPr>
        <w:t xml:space="preserve"> Positive signal that pricing power in the premium beverage segment is intact; supports KO's own price/mix algorithm.</w:t>
      </w:r>
    </w:p>
    <w:p>
      <w:pPr>
        <w:pStyle w:val="ListBullet"/>
        <w:ind w:left="360" w:hanging="360"/>
      </w:pPr>
      <w:r>
        <w:rPr>
          <w:rFonts w:ascii="Calibri" w:hAnsi="Calibri"/>
          <w:b/>
          <w:color w:val="525866"/>
          <w:sz w:val="22"/>
        </w:rPr>
        <w:t>Summer outlook is strong; FIFA and structural demand cited:</w:t>
      </w:r>
      <w:r>
        <w:rPr>
          <w:rFonts w:ascii="Calibri" w:hAnsi="Calibri"/>
          <w:color w:val="525866"/>
          <w:sz w:val="22"/>
        </w:rPr>
        <w:t xml:space="preserve"> MNST management stated "the timing was perfect and now sets us up beautifully for a strong summer where we believe structural demand will be high." CELSIUS launched a FIFA-themed limited edition (Electric Vibe). MNST's April 2026 sales were +24.4% vs. April 2025. </w:t>
      </w:r>
      <w:r>
        <w:rPr>
          <w:rFonts w:ascii="Calibri" w:hAnsi="Calibri"/>
          <w:i/>
          <w:color w:val="525866"/>
          <w:sz w:val="22"/>
        </w:rPr>
        <w:t>KO read-through:</w:t>
      </w:r>
      <w:r>
        <w:rPr>
          <w:rFonts w:ascii="Calibri" w:hAnsi="Calibri"/>
          <w:color w:val="525866"/>
          <w:sz w:val="22"/>
        </w:rPr>
        <w:t xml:space="preserve"> Strong April momentum in the energy category is a positive leading indicator for KO's Q2 volume in the energy/sports segment. The FIFA catalyst is broad-based across the beverage category.</w:t>
      </w:r>
    </w:p>
    <w:p>
      <w:pPr>
        <w:pStyle w:val="ListBullet"/>
        <w:ind w:left="360" w:hanging="360"/>
      </w:pPr>
      <w:r>
        <w:rPr>
          <w:rFonts w:ascii="Calibri" w:hAnsi="Calibri"/>
          <w:b/>
          <w:color w:val="525866"/>
          <w:sz w:val="22"/>
        </w:rPr>
        <w:t>Aluminum cost headwinds are a watch item:</w:t>
      </w:r>
      <w:r>
        <w:rPr>
          <w:rFonts w:ascii="Calibri" w:hAnsi="Calibri"/>
          <w:color w:val="525866"/>
          <w:sz w:val="22"/>
        </w:rPr>
        <w:t xml:space="preserve"> MNST flagged that gross margin declined to 55.0% (from 56.5%) due to geographic mix, increased aluminum can costs, and freight. The company expects "a continued modest sequential increase in costs through at least end of 2026" based on current aluminum pricing and Midwest premium. </w:t>
      </w:r>
      <w:r>
        <w:rPr>
          <w:rFonts w:ascii="Calibri" w:hAnsi="Calibri"/>
          <w:i/>
          <w:color w:val="525866"/>
          <w:sz w:val="22"/>
        </w:rPr>
        <w:t>KO read-through:</w:t>
      </w:r>
      <w:r>
        <w:rPr>
          <w:rFonts w:ascii="Calibri" w:hAnsi="Calibri"/>
          <w:color w:val="525866"/>
          <w:sz w:val="22"/>
        </w:rPr>
        <w:t xml:space="preserve"> KO's concentrate model provides more insulation from aluminum costs than MNST, but KO's bottling partners face more acute headwinds. Watch for any commentary on cross-enterprise procurement effectiveness.</w:t>
      </w:r>
    </w:p>
    <w:p>
      <w:pPr>
        <w:pStyle w:val="Heading3"/>
      </w:pPr>
      <w:r>
        <w:rPr>
          <w:rFonts w:ascii="Calibri" w:hAnsi="Calibri"/>
          <w:b/>
          <w:color w:val="3B4259"/>
          <w:sz w:val="24"/>
        </w:rPr>
        <w:t>Celsius Holdings (CELH) — Q1 2026 Results (Reported May 7, 2026)</w:t>
      </w:r>
    </w:p>
    <w:p>
      <w:r>
        <w:rPr>
          <w:rFonts w:ascii="Calibri" w:hAnsi="Calibri"/>
          <w:i/>
          <w:color w:val="525866"/>
          <w:sz w:val="22"/>
        </w:rPr>
        <w:t>Energy drink category dynamics and convenience/away-from-home channel trends are relevant for KO's energy and sports portfolio.</w:t>
      </w:r>
    </w:p>
    <w:p>
      <w:pPr>
        <w:pStyle w:val="ListBullet"/>
        <w:ind w:left="360" w:hanging="360"/>
      </w:pPr>
      <w:r>
        <w:rPr>
          <w:rFonts w:ascii="Calibri" w:hAnsi="Calibri"/>
          <w:b/>
          <w:color w:val="525866"/>
          <w:sz w:val="22"/>
        </w:rPr>
        <w:t>Energy category is one of the fastest-growing within LRB, with new consumers entering:</w:t>
      </w:r>
      <w:r>
        <w:rPr>
          <w:rFonts w:ascii="Calibri" w:hAnsi="Calibri"/>
          <w:color w:val="525866"/>
          <w:sz w:val="22"/>
        </w:rPr>
        <w:t xml:space="preserve"> CELH reported record Q1 revenue of $783M. The combined CELH/Alani Nu portfolio reached 20.9% dollar share in Circana tracked channels (4 weeks ending April 12). Management noted "energy continues to be one of the strongest performing categories in beverage, even as the broader consumer staples environment remains challenging." </w:t>
      </w:r>
      <w:r>
        <w:rPr>
          <w:rFonts w:ascii="Calibri" w:hAnsi="Calibri"/>
          <w:i/>
          <w:color w:val="525866"/>
          <w:sz w:val="22"/>
        </w:rPr>
        <w:t>KO read-through:</w:t>
      </w:r>
      <w:r>
        <w:rPr>
          <w:rFonts w:ascii="Calibri" w:hAnsi="Calibri"/>
          <w:color w:val="525866"/>
          <w:sz w:val="22"/>
        </w:rPr>
        <w:t xml:space="preserve"> The energy category's resilience relative to broader consumer staples is a positive structural backdrop for KO's energy distribution economics and the fairlife/Core Power protein platform.</w:t>
      </w:r>
    </w:p>
    <w:p>
      <w:pPr>
        <w:pStyle w:val="ListBullet"/>
        <w:ind w:left="360" w:hanging="360"/>
      </w:pPr>
      <w:r>
        <w:rPr>
          <w:rFonts w:ascii="Calibri" w:hAnsi="Calibri"/>
          <w:b/>
          <w:color w:val="525866"/>
          <w:sz w:val="22"/>
        </w:rPr>
        <w:t>Shelf space gains and retailer support are accelerating into summer:</w:t>
      </w:r>
      <w:r>
        <w:rPr>
          <w:rFonts w:ascii="Calibri" w:hAnsi="Calibri"/>
          <w:color w:val="525866"/>
          <w:sz w:val="22"/>
        </w:rPr>
        <w:t xml:space="preserve"> CELH guided to ~17% shelf space gains for brand CELSIUS heading into summer, driven by expanding cooler placements and additional points of sale across national chains including foodservice. Retailers are "adding more overall energy space, in some cases very significantly." </w:t>
      </w:r>
      <w:r>
        <w:rPr>
          <w:rFonts w:ascii="Calibri" w:hAnsi="Calibri"/>
          <w:i/>
          <w:color w:val="525866"/>
          <w:sz w:val="22"/>
        </w:rPr>
        <w:t>KO read-through:</w:t>
      </w:r>
      <w:r>
        <w:rPr>
          <w:rFonts w:ascii="Calibri" w:hAnsi="Calibri"/>
          <w:color w:val="525866"/>
          <w:sz w:val="22"/>
        </w:rPr>
        <w:t xml:space="preserve"> Expanding energy shelf space benefits KO's distribution system economics. The foodservice/away-from-home channel expansion is a positive read-through for KO's own away-from-home volume recovery.</w:t>
      </w:r>
    </w:p>
    <w:p>
      <w:pPr>
        <w:pStyle w:val="ListBullet"/>
        <w:ind w:left="360" w:hanging="360"/>
      </w:pPr>
      <w:r>
        <w:rPr>
          <w:rFonts w:ascii="Calibri" w:hAnsi="Calibri"/>
          <w:b/>
          <w:color w:val="525866"/>
          <w:sz w:val="22"/>
        </w:rPr>
        <w:t>Convenience channel remains the dominant energy drink outlet:</w:t>
      </w:r>
      <w:r>
        <w:rPr>
          <w:rFonts w:ascii="Calibri" w:hAnsi="Calibri"/>
          <w:color w:val="525866"/>
          <w:sz w:val="22"/>
        </w:rPr>
        <w:t xml:space="preserve"> CELH noted that historically over 60% of energy drink sales are derived from convenience and impulse purchases, with retailers expanding cold space rapidly across formats. </w:t>
      </w:r>
      <w:r>
        <w:rPr>
          <w:rFonts w:ascii="Calibri" w:hAnsi="Calibri"/>
          <w:i/>
          <w:color w:val="525866"/>
          <w:sz w:val="22"/>
        </w:rPr>
        <w:t>KO read-through:</w:t>
      </w:r>
      <w:r>
        <w:rPr>
          <w:rFonts w:ascii="Calibri" w:hAnsi="Calibri"/>
          <w:color w:val="525866"/>
          <w:sz w:val="22"/>
        </w:rPr>
        <w:t xml:space="preserve"> Convenience channel health is critical for KO's North America volume. The channel's strength in energy is a positive indicator for KO's overall convenience channel performance in Q2.</w:t>
      </w:r>
    </w:p>
    <w:p>
      <w:pPr>
        <w:pStyle w:val="Heading3"/>
      </w:pPr>
      <w:r>
        <w:rPr>
          <w:rFonts w:ascii="Calibri" w:hAnsi="Calibri"/>
          <w:b/>
          <w:color w:val="3B4259"/>
          <w:sz w:val="24"/>
        </w:rPr>
        <w:t>Molson Coors (TAP) — Q1 2026 Results (Reported April 30, 2026)</w:t>
      </w:r>
    </w:p>
    <w:p>
      <w:r>
        <w:rPr>
          <w:rFonts w:ascii="Calibri" w:hAnsi="Calibri"/>
          <w:i/>
          <w:color w:val="525866"/>
          <w:sz w:val="22"/>
        </w:rPr>
        <w:t>U.S. beer category dynamics and consumer behavior commentary are relevant for KO's North America volume outlook.</w:t>
      </w:r>
    </w:p>
    <w:p>
      <w:pPr>
        <w:pStyle w:val="ListBullet"/>
        <w:ind w:left="360" w:hanging="360"/>
      </w:pPr>
      <w:r>
        <w:rPr>
          <w:rFonts w:ascii="Calibri" w:hAnsi="Calibri"/>
          <w:b/>
          <w:color w:val="525866"/>
          <w:sz w:val="22"/>
        </w:rPr>
        <w:t>U.S. beer category started 2026 on "better footing" but macro uncertainty persists:</w:t>
      </w:r>
      <w:r>
        <w:rPr>
          <w:rFonts w:ascii="Calibri" w:hAnsi="Calibri"/>
          <w:color w:val="525866"/>
          <w:sz w:val="22"/>
        </w:rPr>
        <w:t xml:space="preserve"> TAP noted the U.S. beer industry was down -1.6% in Q1 based on internal estimates, but described the category as starting the year on "better footing" than 2025. Macro uncertainty continued to pressure lower-income consumers. </w:t>
      </w:r>
      <w:r>
        <w:rPr>
          <w:rFonts w:ascii="Calibri" w:hAnsi="Calibri"/>
          <w:i/>
          <w:color w:val="525866"/>
          <w:sz w:val="22"/>
        </w:rPr>
        <w:t>KO read-through:</w:t>
      </w:r>
      <w:r>
        <w:rPr>
          <w:rFonts w:ascii="Calibri" w:hAnsi="Calibri"/>
          <w:color w:val="525866"/>
          <w:sz w:val="22"/>
        </w:rPr>
        <w:t xml:space="preserve"> The U.S. beverage category is recovering but not uniformly. Lower-income consumer pressure is consistent with KO management's own segmentation commentary; KO's price-pack architecture and affordability initiatives are the right response.</w:t>
      </w:r>
    </w:p>
    <w:p>
      <w:pPr>
        <w:pStyle w:val="ListBullet"/>
        <w:ind w:left="360" w:hanging="360"/>
      </w:pPr>
      <w:r>
        <w:rPr>
          <w:rFonts w:ascii="Calibri" w:hAnsi="Calibri"/>
          <w:b/>
          <w:color w:val="525866"/>
          <w:sz w:val="22"/>
        </w:rPr>
        <w:t>FIFA World Cup and America's 250th anniversary are major summer catalysts:</w:t>
      </w:r>
      <w:r>
        <w:rPr>
          <w:rFonts w:ascii="Calibri" w:hAnsi="Calibri"/>
          <w:color w:val="525866"/>
          <w:sz w:val="22"/>
        </w:rPr>
        <w:t xml:space="preserve"> TAP described making its "single largest media investment in many years tied to the World Cup" and expressed excitement about the summer selling season. The company expects the next "4–6 months to be important to win the year." </w:t>
      </w:r>
      <w:r>
        <w:rPr>
          <w:rFonts w:ascii="Calibri" w:hAnsi="Calibri"/>
          <w:i/>
          <w:color w:val="525866"/>
          <w:sz w:val="22"/>
        </w:rPr>
        <w:t>KO read-through:</w:t>
      </w:r>
      <w:r>
        <w:rPr>
          <w:rFonts w:ascii="Calibri" w:hAnsi="Calibri"/>
          <w:color w:val="525866"/>
          <w:sz w:val="22"/>
        </w:rPr>
        <w:t xml:space="preserve"> Broad industry consensus that Q2–Q3 2026 is a pivotal period for beverage volume, driven by FIFA and America 250. KO's status as the official non-alcoholic beverage partner of FIFA gives it a disproportionate share of the activation benefit.</w:t>
      </w:r>
    </w:p>
    <w:p>
      <w:pPr>
        <w:pStyle w:val="ListBullet"/>
        <w:ind w:left="360" w:hanging="360"/>
      </w:pPr>
      <w:r>
        <w:rPr>
          <w:rFonts w:ascii="Calibri" w:hAnsi="Calibri"/>
          <w:b/>
          <w:color w:val="525866"/>
          <w:sz w:val="22"/>
        </w:rPr>
        <w:t>Aluminum (Midwest Premium) cost headwinds are the largest in Q2:</w:t>
      </w:r>
      <w:r>
        <w:rPr>
          <w:rFonts w:ascii="Calibri" w:hAnsi="Calibri"/>
          <w:color w:val="525866"/>
          <w:sz w:val="22"/>
        </w:rPr>
        <w:t xml:space="preserve"> TAP flagged that Midwest Premium added ~$30M of year-on-year cost increase to Q1 COGS and that "the largest increase is currently anticipated in Q2." The company has meaningful hedge coverage for the balance of 2026. </w:t>
      </w:r>
      <w:r>
        <w:rPr>
          <w:rFonts w:ascii="Calibri" w:hAnsi="Calibri"/>
          <w:i/>
          <w:color w:val="525866"/>
          <w:sz w:val="22"/>
        </w:rPr>
        <w:t>KO read-through:</w:t>
      </w:r>
      <w:r>
        <w:rPr>
          <w:rFonts w:ascii="Calibri" w:hAnsi="Calibri"/>
          <w:color w:val="525866"/>
          <w:sz w:val="22"/>
        </w:rPr>
        <w:t xml:space="preserve"> KO's concentrate model limits direct aluminum exposure, but bottling partners face these headwinds. Watch for any commentary on system-wide cost management and whether bottler profitability is constraining investment capacity.</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All insider activity since Q1 2026 earnings is 10b5-1 plan-driven or option-related — no discretionary open-market buys or sells. The most notable transaction is CEO James Quincey's non-plan sale of 200,000 shares on May 11, 2026 (not flagged as 10b5-1), which warrants monitoring, though the size is modest relative to his total holdings. No clustered buying or unusual selling patterns that would signal directional conviction.</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Transaction 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James Quincey</w:t>
            </w:r>
          </w:p>
        </w:tc>
        <w:tc>
          <w:tcPr>
            <w:tcW w:type="dxa" w:w="1440"/>
          </w:tcPr>
          <w:p>
            <w:r>
              <w:rPr>
                <w:rFonts w:ascii="Calibri" w:hAnsi="Calibri"/>
                <w:sz w:val="22"/>
              </w:rPr>
              <w:t>Chairman &amp; CEO</w:t>
            </w:r>
          </w:p>
        </w:tc>
        <w:tc>
          <w:tcPr>
            <w:tcW w:type="dxa" w:w="1440"/>
          </w:tcPr>
          <w:p>
            <w:r>
              <w:rPr>
                <w:rFonts w:ascii="Calibri" w:hAnsi="Calibri"/>
                <w:b/>
                <w:color w:val="E5484D"/>
                <w:sz w:val="22"/>
              </w:rPr>
              <w:t>Open Market Sale</w:t>
            </w:r>
          </w:p>
        </w:tc>
        <w:tc>
          <w:tcPr>
            <w:tcW w:type="dxa" w:w="1440"/>
          </w:tcPr>
          <w:p>
            <w:r>
              <w:rPr>
                <w:rFonts w:ascii="Calibri" w:hAnsi="Calibri"/>
                <w:sz w:val="22"/>
              </w:rPr>
              <w:t>200,000</w:t>
            </w:r>
          </w:p>
        </w:tc>
        <w:tc>
          <w:tcPr>
            <w:tcW w:type="dxa" w:w="1440"/>
          </w:tcPr>
          <w:p>
            <w:r>
              <w:rPr>
                <w:rFonts w:ascii="Calibri" w:hAnsi="Calibri"/>
                <w:sz w:val="22"/>
              </w:rPr>
              <w:t>May 11, 2026</w:t>
            </w:r>
          </w:p>
        </w:tc>
        <w:tc>
          <w:tcPr>
            <w:tcW w:type="dxa" w:w="1440"/>
          </w:tcPr>
          <w:p>
            <w:r>
              <w:rPr>
                <w:rFonts w:ascii="Calibri" w:hAnsi="Calibri"/>
                <w:sz w:val="22"/>
              </w:rPr>
              <w:t>Not flagged as 10b5-1 plan; discretionary sale. Largest single transaction in the period. Shares sold from direct holdings.</w:t>
            </w:r>
          </w:p>
        </w:tc>
      </w:tr>
      <w:tr>
        <w:tc>
          <w:tcPr>
            <w:tcW w:type="dxa" w:w="1440"/>
          </w:tcPr>
          <w:p>
            <w:r>
              <w:rPr>
                <w:rFonts w:ascii="Calibri" w:hAnsi="Calibri"/>
                <w:sz w:val="22"/>
              </w:rPr>
              <w:t>James Quincey</w:t>
            </w:r>
          </w:p>
        </w:tc>
        <w:tc>
          <w:tcPr>
            <w:tcW w:type="dxa" w:w="1440"/>
          </w:tcPr>
          <w:p>
            <w:r>
              <w:rPr>
                <w:rFonts w:ascii="Calibri" w:hAnsi="Calibri"/>
                <w:sz w:val="22"/>
              </w:rPr>
              <w:t>Chairman &amp; CEO</w:t>
            </w:r>
          </w:p>
        </w:tc>
        <w:tc>
          <w:tcPr>
            <w:tcW w:type="dxa" w:w="1440"/>
          </w:tcPr>
          <w:p>
            <w:r>
              <w:rPr>
                <w:rFonts w:ascii="Calibri" w:hAnsi="Calibri"/>
                <w:sz w:val="22"/>
              </w:rPr>
              <w:t>Option Exercise + Sale (10b5-1)</w:t>
            </w:r>
          </w:p>
        </w:tc>
        <w:tc>
          <w:tcPr>
            <w:tcW w:type="dxa" w:w="1440"/>
          </w:tcPr>
          <w:p>
            <w:r>
              <w:rPr>
                <w:rFonts w:ascii="Calibri" w:hAnsi="Calibri"/>
                <w:sz w:val="22"/>
              </w:rPr>
              <w:t>8,000 (exercise); 8,000 (sale)</w:t>
            </w:r>
          </w:p>
        </w:tc>
        <w:tc>
          <w:tcPr>
            <w:tcW w:type="dxa" w:w="1440"/>
          </w:tcPr>
          <w:p>
            <w:r>
              <w:rPr>
                <w:rFonts w:ascii="Calibri" w:hAnsi="Calibri"/>
                <w:sz w:val="22"/>
              </w:rPr>
              <w:t>June 4, 2026</w:t>
            </w:r>
          </w:p>
        </w:tc>
        <w:tc>
          <w:tcPr>
            <w:tcW w:type="dxa" w:w="1440"/>
          </w:tcPr>
          <w:p>
            <w:r>
              <w:rPr>
                <w:rFonts w:ascii="Calibri" w:hAnsi="Calibri"/>
                <w:sz w:val="22"/>
              </w:rPr>
              <w:t>10b5-1 planned sale; option exercise (code M) followed by same-day sale (code S). Routine plan execution.</w:t>
            </w:r>
          </w:p>
        </w:tc>
      </w:tr>
      <w:tr>
        <w:tc>
          <w:tcPr>
            <w:tcW w:type="dxa" w:w="1440"/>
          </w:tcPr>
          <w:p>
            <w:r>
              <w:rPr>
                <w:rFonts w:ascii="Calibri" w:hAnsi="Calibri"/>
                <w:sz w:val="22"/>
              </w:rPr>
              <w:t>James Quincey</w:t>
            </w:r>
          </w:p>
        </w:tc>
        <w:tc>
          <w:tcPr>
            <w:tcW w:type="dxa" w:w="1440"/>
          </w:tcPr>
          <w:p>
            <w:r>
              <w:rPr>
                <w:rFonts w:ascii="Calibri" w:hAnsi="Calibri"/>
                <w:sz w:val="22"/>
              </w:rPr>
              <w:t>Chairman &amp; CEO</w:t>
            </w:r>
          </w:p>
        </w:tc>
        <w:tc>
          <w:tcPr>
            <w:tcW w:type="dxa" w:w="1440"/>
          </w:tcPr>
          <w:p>
            <w:r>
              <w:rPr>
                <w:rFonts w:ascii="Calibri" w:hAnsi="Calibri"/>
                <w:sz w:val="22"/>
              </w:rPr>
              <w:t>Option Exercise + Sale (10b5-1)</w:t>
            </w:r>
          </w:p>
        </w:tc>
        <w:tc>
          <w:tcPr>
            <w:tcW w:type="dxa" w:w="1440"/>
          </w:tcPr>
          <w:p>
            <w:r>
              <w:rPr>
                <w:rFonts w:ascii="Calibri" w:hAnsi="Calibri"/>
                <w:sz w:val="22"/>
              </w:rPr>
              <w:t>436,296 (exercise); 436,296 (sale)</w:t>
            </w:r>
          </w:p>
        </w:tc>
        <w:tc>
          <w:tcPr>
            <w:tcW w:type="dxa" w:w="1440"/>
          </w:tcPr>
          <w:p>
            <w:r>
              <w:rPr>
                <w:rFonts w:ascii="Calibri" w:hAnsi="Calibri"/>
                <w:sz w:val="22"/>
              </w:rPr>
              <w:t>June 5, 2026</w:t>
            </w:r>
          </w:p>
        </w:tc>
        <w:tc>
          <w:tcPr>
            <w:tcW w:type="dxa" w:w="1440"/>
          </w:tcPr>
          <w:p>
            <w:r>
              <w:rPr>
                <w:rFonts w:ascii="Calibri" w:hAnsi="Calibri"/>
                <w:sz w:val="22"/>
              </w:rPr>
              <w:t>10b5-1 planned sale; large option exercise and same-day sale. Routine plan execution; no directional signal.</w:t>
            </w:r>
          </w:p>
        </w:tc>
      </w:tr>
      <w:tr>
        <w:tc>
          <w:tcPr>
            <w:tcW w:type="dxa" w:w="1440"/>
          </w:tcPr>
          <w:p>
            <w:r>
              <w:rPr>
                <w:rFonts w:ascii="Calibri" w:hAnsi="Calibri"/>
                <w:sz w:val="22"/>
              </w:rPr>
              <w:t>James Quincey</w:t>
            </w:r>
          </w:p>
        </w:tc>
        <w:tc>
          <w:tcPr>
            <w:tcW w:type="dxa" w:w="1440"/>
          </w:tcPr>
          <w:p>
            <w:r>
              <w:rPr>
                <w:rFonts w:ascii="Calibri" w:hAnsi="Calibri"/>
                <w:sz w:val="22"/>
              </w:rPr>
              <w:t>Chairman &amp; CEO</w:t>
            </w:r>
          </w:p>
        </w:tc>
        <w:tc>
          <w:tcPr>
            <w:tcW w:type="dxa" w:w="1440"/>
          </w:tcPr>
          <w:p>
            <w:r>
              <w:rPr>
                <w:rFonts w:ascii="Calibri" w:hAnsi="Calibri"/>
                <w:sz w:val="22"/>
              </w:rPr>
              <w:t>Gift (Transfer)</w:t>
            </w:r>
          </w:p>
        </w:tc>
        <w:tc>
          <w:tcPr>
            <w:tcW w:type="dxa" w:w="1440"/>
          </w:tcPr>
          <w:p>
            <w:r>
              <w:rPr>
                <w:rFonts w:ascii="Calibri" w:hAnsi="Calibri"/>
                <w:sz w:val="22"/>
              </w:rPr>
              <w:t>44,678</w:t>
            </w:r>
          </w:p>
        </w:tc>
        <w:tc>
          <w:tcPr>
            <w:tcW w:type="dxa" w:w="1440"/>
          </w:tcPr>
          <w:p>
            <w:r>
              <w:rPr>
                <w:rFonts w:ascii="Calibri" w:hAnsi="Calibri"/>
                <w:sz w:val="22"/>
              </w:rPr>
              <w:t>May 11, 2026</w:t>
            </w:r>
          </w:p>
        </w:tc>
        <w:tc>
          <w:tcPr>
            <w:tcW w:type="dxa" w:w="1440"/>
          </w:tcPr>
          <w:p>
            <w:r>
              <w:rPr>
                <w:rFonts w:ascii="Calibri" w:hAnsi="Calibri"/>
                <w:sz w:val="22"/>
              </w:rPr>
              <w:t>Shares gifted by wife (indirect holding transferred to direct). Non-economic transaction; no directional signal.</w:t>
            </w:r>
          </w:p>
        </w:tc>
      </w:tr>
      <w:tr>
        <w:tc>
          <w:tcPr>
            <w:tcW w:type="dxa" w:w="1440"/>
          </w:tcPr>
          <w:p>
            <w:r>
              <w:rPr>
                <w:rFonts w:ascii="Calibri" w:hAnsi="Calibri"/>
                <w:sz w:val="22"/>
              </w:rPr>
              <w:t>Nancy Quan</w:t>
            </w:r>
          </w:p>
        </w:tc>
        <w:tc>
          <w:tcPr>
            <w:tcW w:type="dxa" w:w="1440"/>
          </w:tcPr>
          <w:p>
            <w:r>
              <w:rPr>
                <w:rFonts w:ascii="Calibri" w:hAnsi="Calibri"/>
                <w:sz w:val="22"/>
              </w:rPr>
              <w:t>EVP (Chief Technical Officer)</w:t>
            </w:r>
          </w:p>
        </w:tc>
        <w:tc>
          <w:tcPr>
            <w:tcW w:type="dxa" w:w="1440"/>
          </w:tcPr>
          <w:p>
            <w:r>
              <w:rPr>
                <w:rFonts w:ascii="Calibri" w:hAnsi="Calibri"/>
                <w:sz w:val="22"/>
              </w:rPr>
              <w:t>Option Exercise (Acquisition)</w:t>
            </w:r>
          </w:p>
        </w:tc>
        <w:tc>
          <w:tcPr>
            <w:tcW w:type="dxa" w:w="1440"/>
          </w:tcPr>
          <w:p>
            <w:r>
              <w:rPr>
                <w:rFonts w:ascii="Calibri" w:hAnsi="Calibri"/>
                <w:sz w:val="22"/>
              </w:rPr>
              <w:t>31,625</w:t>
            </w:r>
          </w:p>
        </w:tc>
        <w:tc>
          <w:tcPr>
            <w:tcW w:type="dxa" w:w="1440"/>
          </w:tcPr>
          <w:p>
            <w:r>
              <w:rPr>
                <w:rFonts w:ascii="Calibri" w:hAnsi="Calibri"/>
                <w:sz w:val="22"/>
              </w:rPr>
              <w:t>May 15, 2026</w:t>
            </w:r>
          </w:p>
        </w:tc>
        <w:tc>
          <w:tcPr>
            <w:tcW w:type="dxa" w:w="1440"/>
          </w:tcPr>
          <w:p>
            <w:r>
              <w:rPr>
                <w:rFonts w:ascii="Calibri" w:hAnsi="Calibri"/>
                <w:sz w:val="22"/>
              </w:rPr>
              <w:t>Not flagged as 10b5-1; option exercise (code M), acquisition of common stock. No corresponding same-day sale filed — shares retained.</w:t>
            </w:r>
          </w:p>
        </w:tc>
      </w:tr>
      <w:tr>
        <w:tc>
          <w:tcPr>
            <w:tcW w:type="dxa" w:w="1440"/>
          </w:tcPr>
          <w:p>
            <w:r>
              <w:rPr>
                <w:rFonts w:ascii="Calibri" w:hAnsi="Calibri"/>
                <w:sz w:val="22"/>
              </w:rPr>
              <w:t>Jennifer Mann</w:t>
            </w:r>
          </w:p>
        </w:tc>
        <w:tc>
          <w:tcPr>
            <w:tcW w:type="dxa" w:w="1440"/>
          </w:tcPr>
          <w:p>
            <w:r>
              <w:rPr>
                <w:rFonts w:ascii="Calibri" w:hAnsi="Calibri"/>
                <w:sz w:val="22"/>
              </w:rPr>
              <w:t>EVP &amp; President, North America (departing)</w:t>
            </w:r>
          </w:p>
        </w:tc>
        <w:tc>
          <w:tcPr>
            <w:tcW w:type="dxa" w:w="1440"/>
          </w:tcPr>
          <w:p>
            <w:r>
              <w:rPr>
                <w:rFonts w:ascii="Calibri" w:hAnsi="Calibri"/>
                <w:sz w:val="22"/>
              </w:rPr>
              <w:t>Open Market Sale (10b5-1)</w:t>
            </w:r>
          </w:p>
        </w:tc>
        <w:tc>
          <w:tcPr>
            <w:tcW w:type="dxa" w:w="1440"/>
          </w:tcPr>
          <w:p>
            <w:r>
              <w:rPr>
                <w:rFonts w:ascii="Calibri" w:hAnsi="Calibri"/>
                <w:sz w:val="22"/>
              </w:rPr>
              <w:t>100,000</w:t>
            </w:r>
          </w:p>
        </w:tc>
        <w:tc>
          <w:tcPr>
            <w:tcW w:type="dxa" w:w="1440"/>
          </w:tcPr>
          <w:p>
            <w:r>
              <w:rPr>
                <w:rFonts w:ascii="Calibri" w:hAnsi="Calibri"/>
                <w:sz w:val="22"/>
              </w:rPr>
              <w:t>June 5, 2026</w:t>
            </w:r>
          </w:p>
        </w:tc>
        <w:tc>
          <w:tcPr>
            <w:tcW w:type="dxa" w:w="1440"/>
          </w:tcPr>
          <w:p>
            <w:r>
              <w:rPr>
                <w:rFonts w:ascii="Calibri" w:hAnsi="Calibri"/>
                <w:sz w:val="22"/>
              </w:rPr>
              <w:t>10b5-1 planned sale; preceded departure announcement by ~20 days. Plan-driven; no directional signal.</w:t>
            </w:r>
          </w:p>
        </w:tc>
      </w:tr>
      <w:tr>
        <w:tc>
          <w:tcPr>
            <w:tcW w:type="dxa" w:w="1440"/>
          </w:tcPr>
          <w:p>
            <w:r>
              <w:rPr>
                <w:rFonts w:ascii="Calibri" w:hAnsi="Calibri"/>
                <w:sz w:val="22"/>
              </w:rPr>
              <w:t>Jennifer Mann</w:t>
            </w:r>
          </w:p>
        </w:tc>
        <w:tc>
          <w:tcPr>
            <w:tcW w:type="dxa" w:w="1440"/>
          </w:tcPr>
          <w:p>
            <w:r>
              <w:rPr>
                <w:rFonts w:ascii="Calibri" w:hAnsi="Calibri"/>
                <w:sz w:val="22"/>
              </w:rPr>
              <w:t>EVP &amp; President, North America (departing)</w:t>
            </w:r>
          </w:p>
        </w:tc>
        <w:tc>
          <w:tcPr>
            <w:tcW w:type="dxa" w:w="1440"/>
          </w:tcPr>
          <w:p>
            <w:r>
              <w:rPr>
                <w:rFonts w:ascii="Calibri" w:hAnsi="Calibri"/>
                <w:sz w:val="22"/>
              </w:rPr>
              <w:t>Open Market Sale (10b5-1)</w:t>
            </w:r>
          </w:p>
        </w:tc>
        <w:tc>
          <w:tcPr>
            <w:tcW w:type="dxa" w:w="1440"/>
          </w:tcPr>
          <w:p>
            <w:r>
              <w:rPr>
                <w:rFonts w:ascii="Calibri" w:hAnsi="Calibri"/>
                <w:sz w:val="22"/>
              </w:rPr>
              <w:t>100,000</w:t>
            </w:r>
          </w:p>
        </w:tc>
        <w:tc>
          <w:tcPr>
            <w:tcW w:type="dxa" w:w="1440"/>
          </w:tcPr>
          <w:p>
            <w:r>
              <w:rPr>
                <w:rFonts w:ascii="Calibri" w:hAnsi="Calibri"/>
                <w:sz w:val="22"/>
              </w:rPr>
              <w:t>June 8–9, 2026</w:t>
            </w:r>
          </w:p>
        </w:tc>
        <w:tc>
          <w:tcPr>
            <w:tcW w:type="dxa" w:w="1440"/>
          </w:tcPr>
          <w:p>
            <w:r>
              <w:rPr>
                <w:rFonts w:ascii="Calibri" w:hAnsi="Calibri"/>
                <w:sz w:val="22"/>
              </w:rPr>
              <w:t>10b5-1 planned sale; option exercise (code M) and same-day sale (code S). Routine plan execution.</w:t>
            </w:r>
          </w:p>
        </w:tc>
      </w:tr>
      <w:tr>
        <w:tc>
          <w:tcPr>
            <w:tcW w:type="dxa" w:w="1440"/>
          </w:tcPr>
          <w:p>
            <w:r>
              <w:rPr>
                <w:rFonts w:ascii="Calibri" w:hAnsi="Calibri"/>
                <w:sz w:val="22"/>
              </w:rPr>
              <w:t>Jennifer Mann</w:t>
            </w:r>
          </w:p>
        </w:tc>
        <w:tc>
          <w:tcPr>
            <w:tcW w:type="dxa" w:w="1440"/>
          </w:tcPr>
          <w:p>
            <w:r>
              <w:rPr>
                <w:rFonts w:ascii="Calibri" w:hAnsi="Calibri"/>
                <w:sz w:val="22"/>
              </w:rPr>
              <w:t>EVP &amp; President, North America (departing)</w:t>
            </w:r>
          </w:p>
        </w:tc>
        <w:tc>
          <w:tcPr>
            <w:tcW w:type="dxa" w:w="1440"/>
          </w:tcPr>
          <w:p>
            <w:r>
              <w:rPr>
                <w:rFonts w:ascii="Calibri" w:hAnsi="Calibri"/>
                <w:sz w:val="22"/>
              </w:rPr>
              <w:t>Open Market Sale (10b5-1)</w:t>
            </w:r>
          </w:p>
        </w:tc>
        <w:tc>
          <w:tcPr>
            <w:tcW w:type="dxa" w:w="1440"/>
          </w:tcPr>
          <w:p>
            <w:r>
              <w:rPr>
                <w:rFonts w:ascii="Calibri" w:hAnsi="Calibri"/>
                <w:sz w:val="22"/>
              </w:rPr>
              <w:t>23,984</w:t>
            </w:r>
          </w:p>
        </w:tc>
        <w:tc>
          <w:tcPr>
            <w:tcW w:type="dxa" w:w="1440"/>
          </w:tcPr>
          <w:p>
            <w:r>
              <w:rPr>
                <w:rFonts w:ascii="Calibri" w:hAnsi="Calibri"/>
                <w:sz w:val="22"/>
              </w:rPr>
              <w:t>June 10, 2026</w:t>
            </w:r>
          </w:p>
        </w:tc>
        <w:tc>
          <w:tcPr>
            <w:tcW w:type="dxa" w:w="1440"/>
          </w:tcPr>
          <w:p>
            <w:r>
              <w:rPr>
                <w:rFonts w:ascii="Calibri" w:hAnsi="Calibri"/>
                <w:sz w:val="22"/>
              </w:rPr>
              <w:t>10b5-1 planned sale; final tranche of Mann's plan sales ahead of departure. Routine.</w:t>
            </w:r>
          </w:p>
        </w:tc>
      </w:tr>
    </w:tbl>
    <w:p>
      <w:r>
        <w:rPr>
          <w:rFonts w:ascii="Calibri" w:hAnsi="Calibri"/>
          <w:i/>
          <w:color w:val="525866"/>
          <w:sz w:val="22"/>
        </w:rPr>
        <w:t>Source: Insider Transaction Data (SEC Form 4 filings). Open-market buys and sells (Form 4 codes P/S) plus option exercises (code M) and gifts (code G). Period covered: April 28, 2026 – July 27, 2026.</w:t>
      </w:r>
    </w:p>
    <w:p>
      <w:r>
        <w:rPr>
          <w:rFonts w:ascii="Calibri" w:hAnsi="Calibri"/>
          <w:b/>
          <w:color w:val="525866"/>
          <w:sz w:val="22"/>
        </w:rPr>
        <w:t xml:space="preserve">Analysis: </w:t>
      </w:r>
      <w:r>
        <w:rPr>
          <w:rFonts w:ascii="Calibri" w:hAnsi="Calibri"/>
          <w:color w:val="525866"/>
          <w:sz w:val="22"/>
        </w:rPr>
        <w:t>The most notable item is CEO Quincey's May 11 sale of 200,000 shares, which does not appear to be flagged as a 10b5-1 plan transaction in the filing data — making it the only potentially discretionary open-market sale in the period. However, the size (~$15.6M at ~$78/share) is modest relative to his total holdings and does not constitute a clustered or unusual pattern. Jennifer Mann's June sales are entirely plan-driven and preceded her departure announcement, consistent with pre-arranged liquidation. Nancy Quan's option exercise without a corresponding sale (shares retained) is a mild positive signal. No open-market buys were filed by any insider during the period.</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