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Coca-Cola Company (KO)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The Coca-Cola Company</w:t>
            </w:r>
          </w:p>
        </w:tc>
        <w:tc>
          <w:tcPr>
            <w:tcW w:type="dxa" w:w="2160"/>
          </w:tcPr>
          <w:p>
            <w:r>
              <w:rPr>
                <w:rFonts w:ascii="Calibri" w:hAnsi="Calibri"/>
                <w:b/>
                <w:sz w:val="22"/>
              </w:rPr>
              <w:t>Earnings Date</w:t>
            </w:r>
          </w:p>
        </w:tc>
        <w:tc>
          <w:tcPr>
            <w:tcW w:type="dxa" w:w="2160"/>
          </w:tcPr>
          <w:p>
            <w:r>
              <w:rPr>
                <w:rFonts w:ascii="Calibri" w:hAnsi="Calibri"/>
                <w:sz w:val="22"/>
              </w:rPr>
              <w:t>July 28, 2026 (Pre-Market)</w:t>
            </w:r>
          </w:p>
        </w:tc>
      </w:tr>
      <w:tr>
        <w:tc>
          <w:tcPr>
            <w:tcW w:type="dxa" w:w="2160"/>
          </w:tcPr>
          <w:p>
            <w:r>
              <w:rPr>
                <w:rFonts w:ascii="Calibri" w:hAnsi="Calibri"/>
                <w:b/>
                <w:sz w:val="22"/>
              </w:rPr>
              <w:t>Ticker</w:t>
            </w:r>
          </w:p>
        </w:tc>
        <w:tc>
          <w:tcPr>
            <w:tcW w:type="dxa" w:w="2160"/>
          </w:tcPr>
          <w:p>
            <w:r>
              <w:rPr>
                <w:rFonts w:ascii="Calibri" w:hAnsi="Calibri"/>
                <w:sz w:val="22"/>
              </w:rPr>
              <w:t>KO (NYSE)</w:t>
            </w:r>
          </w:p>
        </w:tc>
        <w:tc>
          <w:tcPr>
            <w:tcW w:type="dxa" w:w="2160"/>
          </w:tcPr>
          <w:p>
            <w:r>
              <w:rPr>
                <w:rFonts w:ascii="Calibri" w:hAnsi="Calibri"/>
                <w:b/>
                <w:sz w:val="22"/>
              </w:rPr>
              <w:t>Prepared</w:t>
            </w:r>
          </w:p>
        </w:tc>
        <w:tc>
          <w:tcPr>
            <w:tcW w:type="dxa" w:w="2160"/>
          </w:tcPr>
          <w:p>
            <w:r>
              <w:rPr>
                <w:rFonts w:ascii="Calibri" w:hAnsi="Calibri"/>
                <w:sz w:val="22"/>
              </w:rPr>
              <w:t>July 27,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but not without risk — consensus sits at a manageable bar (adj. EPS $0.93, revenue ~$13.1B), the Fairlife ransomware disruption is the single biggest wildcard, and KO's 20% YTD outperformance means the stock has already priced in execution.</w:t>
      </w:r>
    </w:p>
    <w:p>
      <w:r>
        <w:rPr>
          <w:rFonts w:ascii="Calibri" w:hAnsi="Calibri"/>
          <w:color w:val="525866"/>
          <w:sz w:val="22"/>
        </w:rPr>
        <w:t xml:space="preserve">Heading into Q2 2026, Coca-Cola faces a </w:t>
      </w:r>
      <w:r>
        <w:rPr>
          <w:rFonts w:ascii="Calibri" w:hAnsi="Calibri"/>
          <w:b/>
          <w:color w:val="525866"/>
          <w:sz w:val="22"/>
        </w:rPr>
        <w:t>manageable but not easy bar</w:t>
      </w:r>
      <w:r>
        <w:rPr>
          <w:rFonts w:ascii="Calibri" w:hAnsi="Calibri"/>
          <w:color w:val="525866"/>
          <w:sz w:val="22"/>
        </w:rPr>
        <w:t xml:space="preserve">: consensus expects adj. EPS of ~$0.93 (+7% YoY) and net revenues of ~$13.1B (+4% YoY), both achievable given the company's Q1 beat and reaffirmed full-year organic revenue guidance of 4–5%. Management's tone since the April 28 print has been consistently confident — the Deutsche Bank conference (June 4) reinforced the "all-weather" playbook and 20 consecutive quarters of value share gains — and the FY2026 comparable EPS guidance was raised to 8–9% growth (from 7–8%) on a lower effective tax rate. Estimate revisions have been essentially flat since Q1 earnings, with adj. EPS for Q2 barely moving from $0.931 to $0.933, suggesting the Street is neither chasing the print higher nor fading it. The stock has rallied ~7% since the Q1 print (vs. XLP +3%, SPY +4%), trading near 52-week highs at ~$84, implying a full multiple that leaves limited room for disappointment. The dominant wildcard is the </w:t>
      </w:r>
      <w:r>
        <w:rPr>
          <w:rFonts w:ascii="Calibri" w:hAnsi="Calibri"/>
          <w:b/>
          <w:color w:val="525866"/>
          <w:sz w:val="22"/>
        </w:rPr>
        <w:t>Fairlife ransomware attack disclosed July 16–17</w:t>
      </w:r>
      <w:r>
        <w:rPr>
          <w:rFonts w:ascii="Calibri" w:hAnsi="Calibri"/>
          <w:color w:val="525866"/>
          <w:sz w:val="22"/>
        </w:rPr>
        <w:t>: production was temporarily suspended across all four U.S. facilities; while Coca-Cola announced on July 27 that the majority of production has resumed, analysts at Bank of America flagged potential Q3/Q4 headwinds, and investors will press management on the financial impact, recovery timeline, and any lost volume in Q2.</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represents a moderate bar — organic revenue growth of ~4–5% is in line with guidance, and adj. EPS of $0.93 implies solid YoY growth. Volume growth is the bigger swing factor: Q1 delivered +8% (aided by 6 extra calendar days), and Q2 will normalize sharply, with concentrate shipments expected to lag unit cases by ~2 points.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Operating Revenues ($B)</w:t>
            </w:r>
          </w:p>
        </w:tc>
        <w:tc>
          <w:tcPr>
            <w:tcW w:type="dxa" w:w="1234"/>
          </w:tcPr>
          <w:p>
            <w:r>
              <w:rPr>
                <w:rFonts w:ascii="Calibri" w:hAnsi="Calibri"/>
                <w:sz w:val="22"/>
              </w:rPr>
              <w:t>$12.47B</w:t>
            </w:r>
          </w:p>
        </w:tc>
        <w:tc>
          <w:tcPr>
            <w:tcW w:type="dxa" w:w="1234"/>
          </w:tcPr>
          <w:p>
            <w:r>
              <w:rPr>
                <w:rFonts w:ascii="Calibri" w:hAnsi="Calibri"/>
                <w:sz w:val="22"/>
              </w:rPr>
              <w:t>$12.62B</w:t>
            </w:r>
          </w:p>
        </w:tc>
        <w:tc>
          <w:tcPr>
            <w:tcW w:type="dxa" w:w="1234"/>
          </w:tcPr>
          <w:p>
            <w:r>
              <w:rPr>
                <w:rFonts w:ascii="Calibri" w:hAnsi="Calibri"/>
                <w:sz w:val="22"/>
              </w:rPr>
              <w:t>$13.13B</w:t>
            </w:r>
          </w:p>
        </w:tc>
        <w:tc>
          <w:tcPr>
            <w:tcW w:type="dxa" w:w="1234"/>
          </w:tcPr>
          <w:p>
            <w:r>
              <w:rPr>
                <w:rFonts w:ascii="Calibri" w:hAnsi="Calibri"/>
                <w:sz w:val="22"/>
              </w:rPr>
              <w:t>+4.0%</w:t>
            </w:r>
          </w:p>
        </w:tc>
        <w:tc>
          <w:tcPr>
            <w:tcW w:type="dxa" w:w="1234"/>
          </w:tcPr>
          <w:p>
            <w:r>
              <w:rPr>
                <w:rFonts w:ascii="Calibri" w:hAnsi="Calibri"/>
                <w:sz w:val="22"/>
              </w:rPr>
              <w:t>Organic rev. +4–5%</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$0.86</w:t>
            </w:r>
          </w:p>
        </w:tc>
        <w:tc>
          <w:tcPr>
            <w:tcW w:type="dxa" w:w="1234"/>
          </w:tcPr>
          <w:p>
            <w:r>
              <w:rPr>
                <w:rFonts w:ascii="Calibri" w:hAnsi="Calibri"/>
                <w:sz w:val="22"/>
              </w:rPr>
              <w:t>$0.87</w:t>
            </w:r>
          </w:p>
        </w:tc>
        <w:tc>
          <w:tcPr>
            <w:tcW w:type="dxa" w:w="1234"/>
          </w:tcPr>
          <w:p>
            <w:r>
              <w:rPr>
                <w:rFonts w:ascii="Calibri" w:hAnsi="Calibri"/>
                <w:sz w:val="22"/>
              </w:rPr>
              <w:t>$0.93</w:t>
            </w:r>
          </w:p>
        </w:tc>
        <w:tc>
          <w:tcPr>
            <w:tcW w:type="dxa" w:w="1234"/>
          </w:tcPr>
          <w:p>
            <w:r>
              <w:rPr>
                <w:rFonts w:ascii="Calibri" w:hAnsi="Calibri"/>
                <w:sz w:val="22"/>
              </w:rPr>
              <w:t>+6.9%</w:t>
            </w:r>
          </w:p>
        </w:tc>
        <w:tc>
          <w:tcPr>
            <w:tcW w:type="dxa" w:w="1234"/>
          </w:tcPr>
          <w:p>
            <w:r>
              <w:rPr>
                <w:rFonts w:ascii="Calibri" w:hAnsi="Calibri"/>
                <w:sz w:val="22"/>
              </w:rPr>
              <w:t>Comp. EPS +8–9%</w:t>
            </w:r>
          </w:p>
        </w:tc>
        <w:tc>
          <w:tcPr>
            <w:tcW w:type="dxa" w:w="1234"/>
          </w:tcPr>
          <w:p>
            <w:r>
              <w:rPr>
                <w:rFonts w:ascii="Calibri" w:hAnsi="Calibri"/>
                <w:sz w:val="22"/>
              </w:rPr>
              <w:t>Tracking to guidance</w:t>
            </w:r>
          </w:p>
        </w:tc>
      </w:tr>
      <w:tr>
        <w:tc>
          <w:tcPr>
            <w:tcW w:type="dxa" w:w="1234"/>
          </w:tcPr>
          <w:p>
            <w:r>
              <w:rPr>
                <w:rFonts w:ascii="Calibri" w:hAnsi="Calibri"/>
                <w:sz w:val="22"/>
              </w:rPr>
              <w:t>Total Volume Growth (%)</w:t>
            </w:r>
          </w:p>
        </w:tc>
        <w:tc>
          <w:tcPr>
            <w:tcW w:type="dxa" w:w="1234"/>
          </w:tcPr>
          <w:p>
            <w:r>
              <w:rPr>
                <w:rFonts w:ascii="Calibri" w:hAnsi="Calibri"/>
                <w:sz w:val="22"/>
              </w:rPr>
              <w:t>+8.0%</w:t>
            </w:r>
          </w:p>
        </w:tc>
        <w:tc>
          <w:tcPr>
            <w:tcW w:type="dxa" w:w="1234"/>
          </w:tcPr>
          <w:p>
            <w:r>
              <w:rPr>
                <w:rFonts w:ascii="Calibri" w:hAnsi="Calibri"/>
                <w:sz w:val="22"/>
              </w:rPr>
              <w:t>-1.0%</w:t>
            </w:r>
          </w:p>
        </w:tc>
        <w:tc>
          <w:tcPr>
            <w:tcW w:type="dxa" w:w="1234"/>
          </w:tcPr>
          <w:p>
            <w:r>
              <w:rPr>
                <w:rFonts w:ascii="Calibri" w:hAnsi="Calibri"/>
                <w:sz w:val="22"/>
              </w:rPr>
              <w:t>+0.7%</w:t>
            </w:r>
          </w:p>
        </w:tc>
        <w:tc>
          <w:tcPr>
            <w:tcW w:type="dxa" w:w="1234"/>
          </w:tcPr>
          <w:p>
            <w:r>
              <w:rPr>
                <w:rFonts w:ascii="Calibri" w:hAnsi="Calibri"/>
                <w:sz w:val="22"/>
              </w:rPr>
              <w:t>N/M (vs. -1% prior yr)</w:t>
            </w:r>
          </w:p>
        </w:tc>
        <w:tc>
          <w:tcPr>
            <w:tcW w:type="dxa" w:w="1234"/>
          </w:tcPr>
          <w:p>
            <w:r>
              <w:rPr>
                <w:rFonts w:ascii="Calibri" w:hAnsi="Calibri"/>
                <w:sz w:val="22"/>
              </w:rPr>
              <w:t>Balanced algorithm</w:t>
            </w:r>
          </w:p>
        </w:tc>
        <w:tc>
          <w:tcPr>
            <w:tcW w:type="dxa" w:w="1234"/>
          </w:tcPr>
          <w:p>
            <w:r>
              <w:rPr>
                <w:rFonts w:ascii="Calibri" w:hAnsi="Calibri"/>
                <w:sz w:val="22"/>
              </w:rPr>
              <w:t>N/A (no unit guidance)</w:t>
            </w:r>
          </w:p>
        </w:tc>
      </w:tr>
      <w:tr>
        <w:tc>
          <w:tcPr>
            <w:tcW w:type="dxa" w:w="1234"/>
          </w:tcPr>
          <w:p>
            <w:r>
              <w:rPr>
                <w:rFonts w:ascii="Calibri" w:hAnsi="Calibri"/>
                <w:sz w:val="22"/>
              </w:rPr>
              <w:t>Price/Mix — Total (%)</w:t>
            </w:r>
          </w:p>
        </w:tc>
        <w:tc>
          <w:tcPr>
            <w:tcW w:type="dxa" w:w="1234"/>
          </w:tcPr>
          <w:p>
            <w:r>
              <w:rPr>
                <w:rFonts w:ascii="Calibri" w:hAnsi="Calibri"/>
                <w:sz w:val="22"/>
              </w:rPr>
              <w:t>+2.0%</w:t>
            </w:r>
          </w:p>
        </w:tc>
        <w:tc>
          <w:tcPr>
            <w:tcW w:type="dxa" w:w="1234"/>
          </w:tcPr>
          <w:p>
            <w:r>
              <w:rPr>
                <w:rFonts w:ascii="Calibri" w:hAnsi="Calibri"/>
                <w:sz w:val="22"/>
              </w:rPr>
              <w:t>+6.0%</w:t>
            </w:r>
          </w:p>
        </w:tc>
        <w:tc>
          <w:tcPr>
            <w:tcW w:type="dxa" w:w="1234"/>
          </w:tcPr>
          <w:p>
            <w:r>
              <w:rPr>
                <w:rFonts w:ascii="Calibri" w:hAnsi="Calibri"/>
                <w:sz w:val="22"/>
              </w:rPr>
              <w:t>+2.7%</w:t>
            </w:r>
          </w:p>
        </w:tc>
        <w:tc>
          <w:tcPr>
            <w:tcW w:type="dxa" w:w="1234"/>
          </w:tcPr>
          <w:p>
            <w:r>
              <w:rPr>
                <w:rFonts w:ascii="Calibri" w:hAnsi="Calibri"/>
                <w:sz w:val="22"/>
              </w:rPr>
              <w:t>Moderation from prior yr</w:t>
            </w:r>
          </w:p>
        </w:tc>
        <w:tc>
          <w:tcPr>
            <w:tcW w:type="dxa" w:w="1234"/>
          </w:tcPr>
          <w:p>
            <w:r>
              <w:rPr>
                <w:rFonts w:ascii="Calibri" w:hAnsi="Calibri"/>
                <w:sz w:val="22"/>
              </w:rPr>
              <w:t>Balanced vol/price mix</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$4.30B</w:t>
            </w:r>
          </w:p>
        </w:tc>
        <w:tc>
          <w:tcPr>
            <w:tcW w:type="dxa" w:w="1234"/>
          </w:tcPr>
          <w:p>
            <w:r>
              <w:rPr>
                <w:rFonts w:ascii="Calibri" w:hAnsi="Calibri"/>
                <w:sz w:val="22"/>
              </w:rPr>
              <w:t>$4.38B</w:t>
            </w:r>
          </w:p>
        </w:tc>
        <w:tc>
          <w:tcPr>
            <w:tcW w:type="dxa" w:w="1234"/>
          </w:tcPr>
          <w:p>
            <w:r>
              <w:rPr>
                <w:rFonts w:ascii="Calibri" w:hAnsi="Calibri"/>
                <w:sz w:val="22"/>
              </w:rPr>
              <w:t>$4.61B</w:t>
            </w:r>
          </w:p>
        </w:tc>
        <w:tc>
          <w:tcPr>
            <w:tcW w:type="dxa" w:w="1234"/>
          </w:tcPr>
          <w:p>
            <w:r>
              <w:rPr>
                <w:rFonts w:ascii="Calibri" w:hAnsi="Calibri"/>
                <w:sz w:val="22"/>
              </w:rPr>
              <w:t>+5.3%</w:t>
            </w:r>
          </w:p>
        </w:tc>
        <w:tc>
          <w:tcPr>
            <w:tcW w:type="dxa" w:w="1234"/>
          </w:tcPr>
          <w:p>
            <w:r>
              <w:rPr>
                <w:rFonts w:ascii="Calibri" w:hAnsi="Calibri"/>
                <w:sz w:val="22"/>
              </w:rPr>
              <w:t>Margin expansion (H2 weighted)</w:t>
            </w:r>
          </w:p>
        </w:tc>
        <w:tc>
          <w:tcPr>
            <w:tcW w:type="dxa" w:w="1234"/>
          </w:tcPr>
          <w:p>
            <w:r>
              <w:rPr>
                <w:rFonts w:ascii="Calibri" w:hAnsi="Calibri"/>
                <w:sz w:val="22"/>
              </w:rPr>
              <w:t>Tracking</w:t>
            </w:r>
          </w:p>
        </w:tc>
      </w:tr>
      <w:tr>
        <w:tc>
          <w:tcPr>
            <w:tcW w:type="dxa" w:w="1234"/>
          </w:tcPr>
          <w:p>
            <w:r>
              <w:rPr>
                <w:rFonts w:ascii="Calibri" w:hAnsi="Calibri"/>
                <w:sz w:val="22"/>
              </w:rPr>
              <w:t>Free Cash Flow ($B)</w:t>
            </w:r>
          </w:p>
        </w:tc>
        <w:tc>
          <w:tcPr>
            <w:tcW w:type="dxa" w:w="1234"/>
          </w:tcPr>
          <w:p>
            <w:r>
              <w:rPr>
                <w:rFonts w:ascii="Calibri" w:hAnsi="Calibri"/>
                <w:sz w:val="22"/>
              </w:rPr>
              <w:t>$1.76B</w:t>
            </w:r>
          </w:p>
        </w:tc>
        <w:tc>
          <w:tcPr>
            <w:tcW w:type="dxa" w:w="1234"/>
          </w:tcPr>
          <w:p>
            <w:r>
              <w:rPr>
                <w:rFonts w:ascii="Calibri" w:hAnsi="Calibri"/>
                <w:sz w:val="22"/>
              </w:rPr>
              <w:t>$3.37B</w:t>
            </w:r>
          </w:p>
        </w:tc>
        <w:tc>
          <w:tcPr>
            <w:tcW w:type="dxa" w:w="1234"/>
          </w:tcPr>
          <w:p>
            <w:r>
              <w:rPr>
                <w:rFonts w:ascii="Calibri" w:hAnsi="Calibri"/>
                <w:sz w:val="22"/>
              </w:rPr>
              <w:t>$5.34B</w:t>
            </w:r>
          </w:p>
        </w:tc>
        <w:tc>
          <w:tcPr>
            <w:tcW w:type="dxa" w:w="1234"/>
          </w:tcPr>
          <w:p>
            <w:r>
              <w:rPr>
                <w:rFonts w:ascii="Calibri" w:hAnsi="Calibri"/>
                <w:sz w:val="22"/>
              </w:rPr>
              <w:t>N/M (Q2 seasonally strong)</w:t>
            </w:r>
          </w:p>
        </w:tc>
        <w:tc>
          <w:tcPr>
            <w:tcW w:type="dxa" w:w="1234"/>
          </w:tcPr>
          <w:p>
            <w:r>
              <w:rPr>
                <w:rFonts w:ascii="Calibri" w:hAnsi="Calibri"/>
                <w:sz w:val="22"/>
              </w:rPr>
              <w:t>~$11.97B FY2026</w:t>
            </w:r>
          </w:p>
        </w:tc>
        <w:tc>
          <w:tcPr>
            <w:tcW w:type="dxa" w:w="1234"/>
          </w:tcPr>
          <w:p>
            <w:r>
              <w:rPr>
                <w:rFonts w:ascii="Calibri" w:hAnsi="Calibri"/>
                <w:sz w:val="22"/>
              </w:rPr>
              <w:t>Tracking</w:t>
            </w:r>
          </w:p>
        </w:tc>
      </w:tr>
    </w:tbl>
    <w:p>
      <w:r>
        <w:rPr>
          <w:rFonts w:ascii="Calibri" w:hAnsi="Calibri"/>
          <w:i/>
          <w:color w:val="525866"/>
          <w:sz w:val="22"/>
        </w:rPr>
        <w:t>Source: Visible Alpha Consensus and Actuals Data. All consensus figures as of July 27,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$0.86</w:t>
            </w:r>
          </w:p>
        </w:tc>
        <w:tc>
          <w:tcPr>
            <w:tcW w:type="dxa" w:w="1440"/>
          </w:tcPr>
          <w:p>
            <w:r>
              <w:rPr>
                <w:rFonts w:ascii="Calibri" w:hAnsi="Calibri"/>
                <w:sz w:val="22"/>
              </w:rPr>
              <w:t>$0.807</w:t>
            </w:r>
          </w:p>
        </w:tc>
        <w:tc>
          <w:tcPr>
            <w:tcW w:type="dxa" w:w="1440"/>
          </w:tcPr>
          <w:p>
            <w:r>
              <w:rPr>
                <w:rFonts w:ascii="Calibri" w:hAnsi="Calibri"/>
                <w:b/>
                <w:color w:val="30A46C"/>
                <w:sz w:val="22"/>
              </w:rPr>
              <w:t>+6.6%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$12.47B</w:t>
            </w:r>
          </w:p>
        </w:tc>
        <w:tc>
          <w:tcPr>
            <w:tcW w:type="dxa" w:w="1440"/>
          </w:tcPr>
          <w:p>
            <w:r>
              <w:rPr>
                <w:rFonts w:ascii="Calibri" w:hAnsi="Calibri"/>
                <w:sz w:val="22"/>
              </w:rPr>
              <w:t>$12.17B</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$0.566</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$11.82B</w:t>
            </w:r>
          </w:p>
        </w:tc>
        <w:tc>
          <w:tcPr>
            <w:tcW w:type="dxa" w:w="1440"/>
          </w:tcPr>
          <w:p>
            <w:r>
              <w:rPr>
                <w:rFonts w:ascii="Calibri" w:hAnsi="Calibri"/>
                <w:sz w:val="22"/>
              </w:rPr>
              <w:t>$12.00B</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$0.82</w:t>
            </w:r>
          </w:p>
        </w:tc>
        <w:tc>
          <w:tcPr>
            <w:tcW w:type="dxa" w:w="1440"/>
          </w:tcPr>
          <w:p>
            <w:r>
              <w:rPr>
                <w:rFonts w:ascii="Calibri" w:hAnsi="Calibri"/>
                <w:sz w:val="22"/>
              </w:rPr>
              <w:t>$0.779</w:t>
            </w:r>
          </w:p>
        </w:tc>
        <w:tc>
          <w:tcPr>
            <w:tcW w:type="dxa" w:w="1440"/>
          </w:tcPr>
          <w:p>
            <w:r>
              <w:rPr>
                <w:rFonts w:ascii="Calibri" w:hAnsi="Calibri"/>
                <w:b/>
                <w:color w:val="30A46C"/>
                <w:sz w:val="22"/>
              </w:rPr>
              <w:t>+5.3%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$12.41B</w:t>
            </w:r>
          </w:p>
        </w:tc>
        <w:tc>
          <w:tcPr>
            <w:tcW w:type="dxa" w:w="1440"/>
          </w:tcPr>
          <w:p>
            <w:r>
              <w:rPr>
                <w:rFonts w:ascii="Calibri" w:hAnsi="Calibri"/>
                <w:sz w:val="22"/>
              </w:rPr>
              <w:t>$12.41B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$0.87</w:t>
            </w:r>
          </w:p>
        </w:tc>
        <w:tc>
          <w:tcPr>
            <w:tcW w:type="dxa" w:w="1440"/>
          </w:tcPr>
          <w:p>
            <w:r>
              <w:rPr>
                <w:rFonts w:ascii="Calibri" w:hAnsi="Calibri"/>
                <w:sz w:val="22"/>
              </w:rPr>
              <w:t>$0.832</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$12.62B</w:t>
            </w:r>
          </w:p>
        </w:tc>
        <w:tc>
          <w:tcPr>
            <w:tcW w:type="dxa" w:w="1440"/>
          </w:tcPr>
          <w:p>
            <w:r>
              <w:rPr>
                <w:rFonts w:ascii="Calibri" w:hAnsi="Calibri"/>
                <w:sz w:val="22"/>
              </w:rPr>
              <w:t>$12.55B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$0.73</w:t>
            </w:r>
          </w:p>
        </w:tc>
        <w:tc>
          <w:tcPr>
            <w:tcW w:type="dxa" w:w="1440"/>
          </w:tcPr>
          <w:p>
            <w:r>
              <w:rPr>
                <w:rFonts w:ascii="Calibri" w:hAnsi="Calibri"/>
                <w:sz w:val="22"/>
              </w:rPr>
              <w:t>$0.716</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$11.22B</w:t>
            </w:r>
          </w:p>
        </w:tc>
        <w:tc>
          <w:tcPr>
            <w:tcW w:type="dxa" w:w="1440"/>
          </w:tcPr>
          <w:p>
            <w:r>
              <w:rPr>
                <w:rFonts w:ascii="Calibri" w:hAnsi="Calibri"/>
                <w:sz w:val="22"/>
              </w:rPr>
              <w:t>$11.15B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$0.55</w:t>
            </w:r>
          </w:p>
        </w:tc>
        <w:tc>
          <w:tcPr>
            <w:tcW w:type="dxa" w:w="1440"/>
          </w:tcPr>
          <w:p>
            <w:r>
              <w:rPr>
                <w:rFonts w:ascii="Calibri" w:hAnsi="Calibri"/>
                <w:sz w:val="22"/>
              </w:rPr>
              <w:t>$0.518</w:t>
            </w:r>
          </w:p>
        </w:tc>
        <w:tc>
          <w:tcPr>
            <w:tcW w:type="dxa" w:w="1440"/>
          </w:tcPr>
          <w:p>
            <w:r>
              <w:rPr>
                <w:rFonts w:ascii="Calibri" w:hAnsi="Calibri"/>
                <w:b/>
                <w:color w:val="30A46C"/>
                <w:sz w:val="22"/>
              </w:rPr>
              <w:t>+6.2%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$11.40B</w:t>
            </w:r>
          </w:p>
        </w:tc>
        <w:tc>
          <w:tcPr>
            <w:tcW w:type="dxa" w:w="1440"/>
          </w:tcPr>
          <w:p>
            <w:r>
              <w:rPr>
                <w:rFonts w:ascii="Calibri" w:hAnsi="Calibri"/>
                <w:sz w:val="22"/>
              </w:rPr>
              <w:t>$10.71B</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$0.77</w:t>
            </w:r>
          </w:p>
        </w:tc>
        <w:tc>
          <w:tcPr>
            <w:tcW w:type="dxa" w:w="1440"/>
          </w:tcPr>
          <w:p>
            <w:r>
              <w:rPr>
                <w:rFonts w:ascii="Calibri" w:hAnsi="Calibri"/>
                <w:sz w:val="22"/>
              </w:rPr>
              <w:t>$0.747</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$11.95B</w:t>
            </w:r>
          </w:p>
        </w:tc>
        <w:tc>
          <w:tcPr>
            <w:tcW w:type="dxa" w:w="1440"/>
          </w:tcPr>
          <w:p>
            <w:r>
              <w:rPr>
                <w:rFonts w:ascii="Calibri" w:hAnsi="Calibri"/>
                <w:sz w:val="22"/>
              </w:rPr>
              <w:t>$11.61B</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KO has beaten adj. EPS consensus in each of the last 8 quarters, with an average surprise of ~+4.5%; revenue beats have been more mixed, with one miss in Q4 2025. The consistent EPS beat pattern reflects disciplined cost management and tax-rate tailwinds, but the bar is well-known to the Street.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FY2026 comparable EPS guidance was raised at Q1 earnings (to +8–9% from +7–8%) on a lower tax rate; organic revenue guidance of +4–5% was maintained. No formal guidance revision has occurred since April 28, but the June 4 Deutsche Bank conference reinforced management confidence and the June 25 8-K disclosed a significant leadership change in North America.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Revenue Growth (FY2026)</w:t>
            </w:r>
          </w:p>
        </w:tc>
        <w:tc>
          <w:tcPr>
            <w:tcW w:type="dxa" w:w="1728"/>
          </w:tcPr>
          <w:p>
            <w:r>
              <w:rPr>
                <w:rFonts w:ascii="Calibri" w:hAnsi="Calibri"/>
                <w:sz w:val="22"/>
              </w:rPr>
              <w:t>+4% to +5%</w:t>
            </w:r>
          </w:p>
        </w:tc>
        <w:tc>
          <w:tcPr>
            <w:tcW w:type="dxa" w:w="1728"/>
          </w:tcPr>
          <w:p>
            <w:r>
              <w:rPr>
                <w:rFonts w:ascii="Calibri" w:hAnsi="Calibri"/>
                <w:sz w:val="22"/>
              </w:rPr>
              <w:t>—</w:t>
            </w:r>
          </w:p>
        </w:tc>
        <w:tc>
          <w:tcPr>
            <w:tcW w:type="dxa" w:w="1728"/>
          </w:tcPr>
          <w:p>
            <w:r>
              <w:rPr>
                <w:rFonts w:ascii="Calibri" w:hAnsi="Calibri"/>
                <w:sz w:val="22"/>
              </w:rPr>
              <w:t>~+4.5% implied</w:t>
            </w:r>
          </w:p>
        </w:tc>
        <w:tc>
          <w:tcPr>
            <w:tcW w:type="dxa" w:w="1728"/>
          </w:tcPr>
          <w:p>
            <w:r>
              <w:rPr>
                <w:rFonts w:ascii="Calibri" w:hAnsi="Calibri"/>
                <w:sz w:val="22"/>
              </w:rPr>
              <w:t>Unchanged; management reaffirmed at Deutsche Bank conference (Jun 4)</w:t>
            </w:r>
          </w:p>
        </w:tc>
      </w:tr>
      <w:tr>
        <w:tc>
          <w:tcPr>
            <w:tcW w:type="dxa" w:w="1728"/>
          </w:tcPr>
          <w:p>
            <w:r>
              <w:rPr>
                <w:rFonts w:ascii="Calibri" w:hAnsi="Calibri"/>
                <w:sz w:val="22"/>
              </w:rPr>
              <w:t>Comparable EPS Growth (FY2026)</w:t>
            </w:r>
          </w:p>
        </w:tc>
        <w:tc>
          <w:tcPr>
            <w:tcW w:type="dxa" w:w="1728"/>
          </w:tcPr>
          <w:p>
            <w:r>
              <w:rPr>
                <w:rFonts w:ascii="Calibri" w:hAnsi="Calibri"/>
                <w:sz w:val="22"/>
              </w:rPr>
              <w:t>+8% to +9% vs. $3.00 (2025)</w:t>
            </w:r>
          </w:p>
        </w:tc>
        <w:tc>
          <w:tcPr>
            <w:tcW w:type="dxa" w:w="1728"/>
          </w:tcPr>
          <w:p>
            <w:r>
              <w:rPr>
                <w:rFonts w:ascii="Calibri" w:hAnsi="Calibri"/>
                <w:sz w:val="22"/>
              </w:rPr>
              <w:t>—</w:t>
            </w:r>
          </w:p>
        </w:tc>
        <w:tc>
          <w:tcPr>
            <w:tcW w:type="dxa" w:w="1728"/>
          </w:tcPr>
          <w:p>
            <w:r>
              <w:rPr>
                <w:rFonts w:ascii="Calibri" w:hAnsi="Calibri"/>
                <w:sz w:val="22"/>
              </w:rPr>
              <w:t>$3.27 (+9.0%)</w:t>
            </w:r>
          </w:p>
        </w:tc>
        <w:tc>
          <w:tcPr>
            <w:tcW w:type="dxa" w:w="1728"/>
          </w:tcPr>
          <w:p>
            <w:r>
              <w:rPr>
                <w:rFonts w:ascii="Calibri" w:hAnsi="Calibri"/>
                <w:sz w:val="22"/>
              </w:rPr>
              <w:t>↑ Raised at Q1 earnings from +7–8%; driven by lower effective tax rate (19.9% vs. prior ~21%)</w:t>
            </w:r>
          </w:p>
        </w:tc>
      </w:tr>
      <w:tr>
        <w:tc>
          <w:tcPr>
            <w:tcW w:type="dxa" w:w="1728"/>
          </w:tcPr>
          <w:p>
            <w:r>
              <w:rPr>
                <w:rFonts w:ascii="Calibri" w:hAnsi="Calibri"/>
                <w:sz w:val="22"/>
              </w:rPr>
              <w:t>Currency Impact on Net Revenue (FY2026)</w:t>
            </w:r>
          </w:p>
        </w:tc>
        <w:tc>
          <w:tcPr>
            <w:tcW w:type="dxa" w:w="1728"/>
          </w:tcPr>
          <w:p>
            <w:r>
              <w:rPr>
                <w:rFonts w:ascii="Calibri" w:hAnsi="Calibri"/>
                <w:sz w:val="22"/>
              </w:rPr>
              <w:t>~+1 to +2 point tailwind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from ~+1 point at Q1 earnings; based on current rates and hedge positions</w:t>
            </w:r>
          </w:p>
        </w:tc>
      </w:tr>
      <w:tr>
        <w:tc>
          <w:tcPr>
            <w:tcW w:type="dxa" w:w="1728"/>
          </w:tcPr>
          <w:p>
            <w:r>
              <w:rPr>
                <w:rFonts w:ascii="Calibri" w:hAnsi="Calibri"/>
                <w:sz w:val="22"/>
              </w:rPr>
              <w:t>Currency Impact on Comparable EPS (FY2026)</w:t>
            </w:r>
          </w:p>
        </w:tc>
        <w:tc>
          <w:tcPr>
            <w:tcW w:type="dxa" w:w="1728"/>
          </w:tcPr>
          <w:p>
            <w:r>
              <w:rPr>
                <w:rFonts w:ascii="Calibri" w:hAnsi="Calibri"/>
                <w:sz w:val="22"/>
              </w:rPr>
              <w:t>~+3 point tailwind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from Q1 earnings</w:t>
            </w:r>
          </w:p>
        </w:tc>
      </w:tr>
      <w:tr>
        <w:tc>
          <w:tcPr>
            <w:tcW w:type="dxa" w:w="1728"/>
          </w:tcPr>
          <w:p>
            <w:r>
              <w:rPr>
                <w:rFonts w:ascii="Calibri" w:hAnsi="Calibri"/>
                <w:sz w:val="22"/>
              </w:rPr>
              <w:t>Divestiture Headwind (FY2026)</w:t>
            </w:r>
          </w:p>
        </w:tc>
        <w:tc>
          <w:tcPr>
            <w:tcW w:type="dxa" w:w="1728"/>
          </w:tcPr>
          <w:p>
            <w:r>
              <w:rPr>
                <w:rFonts w:ascii="Calibri" w:hAnsi="Calibri"/>
                <w:sz w:val="22"/>
              </w:rPr>
              <w:t>~4 pts to net revenue; ~1 pt to EPS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Assumes CCBA sale closes H2 2026 (subject to regulatory approval)</w:t>
            </w:r>
          </w:p>
        </w:tc>
      </w:tr>
      <w:tr>
        <w:tc>
          <w:tcPr>
            <w:tcW w:type="dxa" w:w="1728"/>
          </w:tcPr>
          <w:p>
            <w:r>
              <w:rPr>
                <w:rFonts w:ascii="Calibri" w:hAnsi="Calibri"/>
                <w:sz w:val="22"/>
              </w:rPr>
              <w:t>Underlying Effective Tax Rate (FY2026)</w:t>
            </w:r>
          </w:p>
        </w:tc>
        <w:tc>
          <w:tcPr>
            <w:tcW w:type="dxa" w:w="1728"/>
          </w:tcPr>
          <w:p>
            <w:r>
              <w:rPr>
                <w:rFonts w:ascii="Calibri" w:hAnsi="Calibri"/>
                <w:sz w:val="22"/>
              </w:rPr>
              <w:t>~19.9%</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Reduced 1 pt vs. prior estimate at Q1 earnings; primary driver of EPS guidance raise</w:t>
            </w:r>
          </w:p>
        </w:tc>
      </w:tr>
      <w:tr>
        <w:tc>
          <w:tcPr>
            <w:tcW w:type="dxa" w:w="1728"/>
          </w:tcPr>
          <w:p>
            <w:r>
              <w:rPr>
                <w:rFonts w:ascii="Calibri" w:hAnsi="Calibri"/>
                <w:sz w:val="22"/>
              </w:rPr>
              <w:t>North America Leadership</w:t>
            </w:r>
          </w:p>
        </w:tc>
        <w:tc>
          <w:tcPr>
            <w:tcW w:type="dxa" w:w="1728"/>
          </w:tcPr>
          <w:p>
            <w:r>
              <w:rPr>
                <w:rFonts w:ascii="Calibri" w:hAnsi="Calibri"/>
                <w:sz w:val="22"/>
              </w:rPr>
              <w:t>Jennifer Mann, EVP &amp; President, NA</w:t>
            </w:r>
          </w:p>
        </w:tc>
        <w:tc>
          <w:tcPr>
            <w:tcW w:type="dxa" w:w="1728"/>
          </w:tcPr>
          <w:p>
            <w:r>
              <w:rPr>
                <w:rFonts w:ascii="Calibri" w:hAnsi="Calibri"/>
                <w:sz w:val="22"/>
              </w:rPr>
              <w:t>Mann departing Jul 31; CFO Murphy assumes interim NA oversight Aug 1</w:t>
            </w:r>
          </w:p>
        </w:tc>
        <w:tc>
          <w:tcPr>
            <w:tcW w:type="dxa" w:w="1728"/>
          </w:tcPr>
          <w:p>
            <w:r>
              <w:rPr>
                <w:rFonts w:ascii="Calibri" w:hAnsi="Calibri"/>
                <w:sz w:val="22"/>
              </w:rPr>
              <w:t>N/A</w:t>
            </w:r>
          </w:p>
        </w:tc>
        <w:tc>
          <w:tcPr>
            <w:tcW w:type="dxa" w:w="1728"/>
          </w:tcPr>
          <w:p>
            <w:r>
              <w:rPr>
                <w:rFonts w:ascii="Calibri" w:hAnsi="Calibri"/>
                <w:sz w:val="22"/>
              </w:rPr>
              <w:t>8-K filed Jun 25, 2026; search for permanent NA head ongoing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Q2 adj. EPS consensus moved only +$0.002 and FY2026 EPS moved +$0.001 — indicating the Street has fully digested the guidance raise and is not chasing further upside. The gap between consensus and guidance is narrow, suggesting limited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Q2 2026</w:t>
            </w:r>
          </w:p>
        </w:tc>
        <w:tc>
          <w:tcPr>
            <w:tcW w:type="dxa" w:w="1080"/>
          </w:tcPr>
          <w:p>
            <w:r>
              <w:rPr>
                <w:rFonts w:ascii="Calibri" w:hAnsi="Calibri"/>
                <w:sz w:val="22"/>
              </w:rPr>
              <w:t>$0.931</w:t>
            </w:r>
          </w:p>
        </w:tc>
        <w:tc>
          <w:tcPr>
            <w:tcW w:type="dxa" w:w="1080"/>
          </w:tcPr>
          <w:p>
            <w:r>
              <w:rPr>
                <w:rFonts w:ascii="Calibri" w:hAnsi="Calibri"/>
                <w:sz w:val="22"/>
              </w:rPr>
              <w:t>$0.933</w:t>
            </w:r>
          </w:p>
        </w:tc>
        <w:tc>
          <w:tcPr>
            <w:tcW w:type="dxa" w:w="1080"/>
          </w:tcPr>
          <w:p>
            <w:r>
              <w:rPr>
                <w:rFonts w:ascii="Calibri" w:hAnsi="Calibri"/>
                <w:sz w:val="22"/>
              </w:rPr>
              <w:t>+0.2%</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Q2 2026</w:t>
            </w:r>
          </w:p>
        </w:tc>
        <w:tc>
          <w:tcPr>
            <w:tcW w:type="dxa" w:w="1080"/>
          </w:tcPr>
          <w:p>
            <w:r>
              <w:rPr>
                <w:rFonts w:ascii="Calibri" w:hAnsi="Calibri"/>
                <w:sz w:val="22"/>
              </w:rPr>
              <w:t>$13.108B</w:t>
            </w:r>
          </w:p>
        </w:tc>
        <w:tc>
          <w:tcPr>
            <w:tcW w:type="dxa" w:w="1080"/>
          </w:tcPr>
          <w:p>
            <w:r>
              <w:rPr>
                <w:rFonts w:ascii="Calibri" w:hAnsi="Calibri"/>
                <w:sz w:val="22"/>
              </w:rPr>
              <w:t>$13.125B</w:t>
            </w:r>
          </w:p>
        </w:tc>
        <w:tc>
          <w:tcPr>
            <w:tcW w:type="dxa" w:w="1080"/>
          </w:tcPr>
          <w:p>
            <w:r>
              <w:rPr>
                <w:rFonts w:ascii="Calibri" w:hAnsi="Calibri"/>
                <w:sz w:val="22"/>
              </w:rPr>
              <w:t>+0.1%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$3.266</w:t>
            </w:r>
          </w:p>
        </w:tc>
        <w:tc>
          <w:tcPr>
            <w:tcW w:type="dxa" w:w="1080"/>
          </w:tcPr>
          <w:p>
            <w:r>
              <w:rPr>
                <w:rFonts w:ascii="Calibri" w:hAnsi="Calibri"/>
                <w:sz w:val="22"/>
              </w:rPr>
              <w:t>$3.268</w:t>
            </w:r>
          </w:p>
        </w:tc>
        <w:tc>
          <w:tcPr>
            <w:tcW w:type="dxa" w:w="1080"/>
          </w:tcPr>
          <w:p>
            <w:r>
              <w:rPr>
                <w:rFonts w:ascii="Calibri" w:hAnsi="Calibri"/>
                <w:sz w:val="22"/>
              </w:rPr>
              <w:t>+0.1%</w:t>
            </w:r>
          </w:p>
        </w:tc>
        <w:tc>
          <w:tcPr>
            <w:tcW w:type="dxa" w:w="1080"/>
          </w:tcPr>
          <w:p>
            <w:r>
              <w:rPr>
                <w:rFonts w:ascii="Calibri" w:hAnsi="Calibri"/>
                <w:sz w:val="22"/>
              </w:rPr>
              <w:t>+8% to +9% vs. $3.00 = $3.24–$3.27</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~+0.1% above midpoint</w:t>
            </w:r>
          </w:p>
        </w:tc>
      </w:tr>
      <w:tr>
        <w:tc>
          <w:tcPr>
            <w:tcW w:type="dxa" w:w="1080"/>
          </w:tcPr>
          <w:p>
            <w:r>
              <w:rPr>
                <w:rFonts w:ascii="Calibri" w:hAnsi="Calibri"/>
                <w:sz w:val="22"/>
              </w:rPr>
              <w:t>Net Revenue — FY2026</w:t>
            </w:r>
          </w:p>
        </w:tc>
        <w:tc>
          <w:tcPr>
            <w:tcW w:type="dxa" w:w="1080"/>
          </w:tcPr>
          <w:p>
            <w:r>
              <w:rPr>
                <w:rFonts w:ascii="Calibri" w:hAnsi="Calibri"/>
                <w:sz w:val="22"/>
              </w:rPr>
              <w:t>$48.989B</w:t>
            </w:r>
          </w:p>
        </w:tc>
        <w:tc>
          <w:tcPr>
            <w:tcW w:type="dxa" w:w="1080"/>
          </w:tcPr>
          <w:p>
            <w:r>
              <w:rPr>
                <w:rFonts w:ascii="Calibri" w:hAnsi="Calibri"/>
                <w:sz w:val="22"/>
              </w:rPr>
              <w:t>$48.989B</w:t>
            </w:r>
          </w:p>
        </w:tc>
        <w:tc>
          <w:tcPr>
            <w:tcW w:type="dxa" w:w="1080"/>
          </w:tcPr>
          <w:p>
            <w:r>
              <w:rPr>
                <w:rFonts w:ascii="Calibri" w:hAnsi="Calibri"/>
                <w:sz w:val="22"/>
              </w:rPr>
              <w:t>Flat</w:t>
            </w:r>
          </w:p>
        </w:tc>
        <w:tc>
          <w:tcPr>
            <w:tcW w:type="dxa" w:w="1080"/>
          </w:tcPr>
          <w:p>
            <w:r>
              <w:rPr>
                <w:rFonts w:ascii="Calibri" w:hAnsi="Calibri"/>
                <w:sz w:val="22"/>
              </w:rPr>
              <w:t>Organic rev. +4–5%</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 with guidance</w:t>
            </w:r>
          </w:p>
        </w:tc>
      </w:tr>
      <w:tr>
        <w:tc>
          <w:tcPr>
            <w:tcW w:type="dxa" w:w="1080"/>
          </w:tcPr>
          <w:p>
            <w:r>
              <w:rPr>
                <w:rFonts w:ascii="Calibri" w:hAnsi="Calibri"/>
                <w:sz w:val="22"/>
              </w:rPr>
              <w:t>Operating Income — Q2 2026</w:t>
            </w:r>
          </w:p>
        </w:tc>
        <w:tc>
          <w:tcPr>
            <w:tcW w:type="dxa" w:w="1080"/>
          </w:tcPr>
          <w:p>
            <w:r>
              <w:rPr>
                <w:rFonts w:ascii="Calibri" w:hAnsi="Calibri"/>
                <w:sz w:val="22"/>
              </w:rPr>
              <w:t>$4.607B</w:t>
            </w:r>
          </w:p>
        </w:tc>
        <w:tc>
          <w:tcPr>
            <w:tcW w:type="dxa" w:w="1080"/>
          </w:tcPr>
          <w:p>
            <w:r>
              <w:rPr>
                <w:rFonts w:ascii="Calibri" w:hAnsi="Calibri"/>
                <w:sz w:val="22"/>
              </w:rPr>
              <w:t>$4.612B</w:t>
            </w:r>
          </w:p>
        </w:tc>
        <w:tc>
          <w:tcPr>
            <w:tcW w:type="dxa" w:w="1080"/>
          </w:tcPr>
          <w:p>
            <w:r>
              <w:rPr>
                <w:rFonts w:ascii="Calibri" w:hAnsi="Calibri"/>
                <w:sz w:val="22"/>
              </w:rPr>
              <w:t>+0.1%</w:t>
            </w:r>
          </w:p>
        </w:tc>
        <w:tc>
          <w:tcPr>
            <w:tcW w:type="dxa" w:w="1080"/>
          </w:tcPr>
          <w:p>
            <w:r>
              <w:rPr>
                <w:rFonts w:ascii="Calibri" w:hAnsi="Calibri"/>
                <w:sz w:val="22"/>
              </w:rPr>
              <w:t>Margin expansion (H2 weighted)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w:t>
            </w:r>
          </w:p>
        </w:tc>
      </w:tr>
    </w:tbl>
    <w:p>
      <w:r>
        <w:rPr>
          <w:rFonts w:ascii="Calibri" w:hAnsi="Calibri"/>
          <w:i/>
          <w:color w:val="525866"/>
          <w:sz w:val="22"/>
        </w:rPr>
        <w:t xml:space="preserve">Source: Visible Alpha Consensus and Actuals Data. </w:t>
      </w:r>
      <w:r>
        <w:rPr>
          <w:rFonts w:ascii="Calibri" w:hAnsi="Calibri"/>
          <w:i/>
          <w:color w:val="525866"/>
          <w:sz w:val="22"/>
        </w:rPr>
        <w:t>The near-zero revision in estimates since Q1 earnings reflects a Street that has fully priced in the guidance raise and is waiting for the print. The FY2026 EPS consensus of $3.27 sits at the top end of the $3.24–$3.27 guidance range, leaving little room for upward revision unless KO raises guidance again — which would require either a stronger-than-expected organic revenue trajectory or a further tax-rate benefit.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KO has outperformed both XLP (+3.1%) and SPY (+3.8%) since the Q1 earnings print on April 28, gaining ~7.3% to ~$84, driven by a combination of estimate stability, defensive rotation, and the stock's safe-haven appeal amid geopolitical uncertainty. The outperformance is multiple-driven rather than revision-driven, as EPS estimates barely moved.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KO vs. XLP vs. S&amp;P 500 — Indexed Performance Since Q1 2026 Earnings (April 28, 2026). KO: +7.3% | XLP: +2.7% | SPY: +3.8%. Source: Yahoo Finance / Stock Price Data.</w:t>
      </w:r>
    </w:p>
    <w:p>
      <w:r>
        <w:rPr>
          <w:rFonts w:ascii="Calibri" w:hAnsi="Calibri"/>
          <w:b/>
          <w:color w:val="525866"/>
          <w:sz w:val="22"/>
        </w:rPr>
        <w:t>Key events since Q1 earnings (April 28, 2026):</w:t>
      </w:r>
    </w:p>
    <w:p>
      <w:pPr>
        <w:pStyle w:val="ListBullet"/>
        <w:ind w:left="360" w:hanging="360"/>
      </w:pPr>
      <w:r>
        <w:rPr>
          <w:rFonts w:ascii="Calibri" w:hAnsi="Calibri"/>
          <w:color w:val="525866"/>
          <w:sz w:val="22"/>
        </w:rPr>
        <w:t>May 7 — James Quincey (Chairman) sold 200,000 shares (~$15.7M) in a discretionary (non-10b5-1) transaction; stock dipped briefly but recovered.</w:t>
      </w:r>
      <w:r>
        <w:rPr>
          <w:rFonts w:ascii="Calibri" w:hAnsi="Calibri"/>
          <w:color w:val="525866"/>
          <w:sz w:val="22"/>
        </w:rPr>
        <w:t xml:space="preserve"> (Source: SEC Form 4)</w:t>
      </w:r>
    </w:p>
    <w:p>
      <w:pPr>
        <w:pStyle w:val="ListBullet"/>
        <w:ind w:left="360" w:hanging="360"/>
      </w:pPr>
      <w:r>
        <w:rPr>
          <w:rFonts w:ascii="Calibri" w:hAnsi="Calibri"/>
          <w:color w:val="525866"/>
          <w:sz w:val="22"/>
        </w:rPr>
        <w:t>June 4 — Deutsche Bank Global Consumer Conference; CFO Murphy reaffirmed guidance and expressed confidence in balanced algorithm. Stock rallied ~3% in the days following.</w:t>
      </w:r>
      <w:r>
        <w:rPr>
          <w:rFonts w:ascii="Calibri" w:hAnsi="Calibri"/>
          <w:color w:val="525866"/>
          <w:sz w:val="22"/>
        </w:rPr>
        <w:t xml:space="preserve"> (Source: KO Conference Transcript)</w:t>
      </w:r>
    </w:p>
    <w:p>
      <w:pPr>
        <w:pStyle w:val="ListBullet"/>
        <w:ind w:left="360" w:hanging="360"/>
      </w:pPr>
      <w:r>
        <w:rPr>
          <w:rFonts w:ascii="Calibri" w:hAnsi="Calibri"/>
          <w:color w:val="525866"/>
          <w:sz w:val="22"/>
        </w:rPr>
        <w:t>June 5 — Stock gapped up ~3.5% (from ~$76.8 to ~$79.5) following the conference.</w:t>
      </w:r>
      <w:r>
        <w:rPr>
          <w:rFonts w:ascii="Calibri" w:hAnsi="Calibri"/>
          <w:color w:val="525866"/>
          <w:sz w:val="22"/>
        </w:rPr>
        <w:t xml:space="preserve"> (Source: Yahoo Finance)</w:t>
      </w:r>
    </w:p>
    <w:p>
      <w:pPr>
        <w:pStyle w:val="ListBullet"/>
        <w:ind w:left="360" w:hanging="360"/>
      </w:pPr>
      <w:r>
        <w:rPr>
          <w:rFonts w:ascii="Calibri" w:hAnsi="Calibri"/>
          <w:color w:val="525866"/>
          <w:sz w:val="22"/>
        </w:rPr>
        <w:t>June 10 — Stock reached ~$83.6, a new post-earnings high, before pulling back.</w:t>
      </w:r>
      <w:r>
        <w:rPr>
          <w:rFonts w:ascii="Calibri" w:hAnsi="Calibri"/>
          <w:color w:val="525866"/>
          <w:sz w:val="22"/>
        </w:rPr>
        <w:t xml:space="preserve"> (Source: Yahoo Finance)</w:t>
      </w:r>
    </w:p>
    <w:p>
      <w:pPr>
        <w:pStyle w:val="ListBullet"/>
        <w:ind w:left="360" w:hanging="360"/>
      </w:pPr>
      <w:r>
        <w:rPr>
          <w:rFonts w:ascii="Calibri" w:hAnsi="Calibri"/>
          <w:color w:val="525866"/>
          <w:sz w:val="22"/>
        </w:rPr>
        <w:t>June 25 — 8-K disclosed Jennifer Mann (EVP, North America) departure effective July 31; CFO Murphy to assume interim NA oversight. Stock was flat on the news.</w:t>
      </w:r>
      <w:r>
        <w:rPr>
          <w:rFonts w:ascii="Calibri" w:hAnsi="Calibri"/>
          <w:color w:val="525866"/>
          <w:sz w:val="22"/>
        </w:rPr>
        <w:t xml:space="preserve"> (Source: KO 8-K, June 25, 2026)</w:t>
      </w:r>
    </w:p>
    <w:p>
      <w:pPr>
        <w:pStyle w:val="ListBullet"/>
        <w:ind w:left="360" w:hanging="360"/>
      </w:pPr>
      <w:r>
        <w:rPr>
          <w:rFonts w:ascii="Calibri" w:hAnsi="Calibri"/>
          <w:color w:val="525866"/>
          <w:sz w:val="22"/>
        </w:rPr>
        <w:t>July 2 — Stock hit ~$84.1, another new high, on broad defensive rotation.</w:t>
      </w:r>
      <w:r>
        <w:rPr>
          <w:rFonts w:ascii="Calibri" w:hAnsi="Calibri"/>
          <w:color w:val="525866"/>
          <w:sz w:val="22"/>
        </w:rPr>
        <w:t xml:space="preserve"> (Source: Yahoo Finance)</w:t>
      </w:r>
    </w:p>
    <w:p>
      <w:pPr>
        <w:pStyle w:val="ListBullet"/>
        <w:ind w:left="360" w:hanging="360"/>
      </w:pPr>
      <w:r>
        <w:rPr>
          <w:rFonts w:ascii="Calibri" w:hAnsi="Calibri"/>
          <w:color w:val="525866"/>
          <w:sz w:val="22"/>
        </w:rPr>
        <w:t>July 16–17 — Fairlife ransomware attack disclosed; production suspended at all U.S. facilities. Stock fell ~4% from ~$84.9 to ~$81.6 over two sessions.</w:t>
      </w:r>
      <w:r>
        <w:rPr>
          <w:rFonts w:ascii="Calibri" w:hAnsi="Calibri"/>
          <w:color w:val="525866"/>
          <w:sz w:val="22"/>
        </w:rPr>
        <w:t xml:space="preserve"> (Source: KO News Digest, July 16–17, 2026)</w:t>
      </w:r>
    </w:p>
    <w:p>
      <w:pPr>
        <w:pStyle w:val="ListBullet"/>
        <w:ind w:left="360" w:hanging="360"/>
      </w:pPr>
      <w:r>
        <w:rPr>
          <w:rFonts w:ascii="Calibri" w:hAnsi="Calibri"/>
          <w:color w:val="525866"/>
          <w:sz w:val="22"/>
        </w:rPr>
        <w:t>July 27 — KO announced Fairlife has resumed majority of production. Stock recovered to ~$84.1 ahead of earnings.</w:t>
      </w:r>
      <w:r>
        <w:rPr>
          <w:rFonts w:ascii="Calibri" w:hAnsi="Calibri"/>
          <w:color w:val="525866"/>
          <w:sz w:val="22"/>
        </w:rPr>
        <w:t xml:space="preserve"> (Source: KO News Digest, July 27,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Fairlife ransomware attack (July 16–17) is the most material development since Q1 earnings — it introduces genuine uncertainty around Q2 volume/revenue and raises questions about Q3/Q4 recovery. The North America leadership transition is a secondary but notable overhang.</w:t>
      </w:r>
    </w:p>
    <w:p>
      <w:pPr>
        <w:pStyle w:val="ListBullet"/>
        <w:ind w:left="360" w:hanging="360"/>
      </w:pPr>
      <w:r>
        <w:rPr>
          <w:rFonts w:ascii="Calibri" w:hAnsi="Calibri"/>
          <w:b/>
          <w:color w:val="525866"/>
          <w:sz w:val="22"/>
        </w:rPr>
        <w:t xml:space="preserve">July 16–17, 2026 — Fairlife Ransomware Attack (CRITICAL): </w:t>
      </w:r>
      <w:r>
        <w:rPr>
          <w:rFonts w:ascii="Calibri" w:hAnsi="Calibri"/>
          <w:color w:val="525866"/>
          <w:sz w:val="22"/>
        </w:rPr>
        <w:t>KO disclosed that Fairlife's U.S. production operations were temporarily suspended following a ransomware cyberattack. Fairlife, with estimated ~$4B in annual sales, is one of KO's highest-growth brands. Bank of America analysts flagged potential Q3/Q4 headwinds, with recovery expected by H1 2027. On July 27, KO announced the majority of production has resumed. Investors will seek details on Q2 volume impact, lost revenue, and insurance/recovery costs.</w:t>
      </w:r>
      <w:r>
        <w:rPr>
          <w:rFonts w:ascii="Calibri" w:hAnsi="Calibri"/>
          <w:color w:val="525866"/>
          <w:sz w:val="22"/>
        </w:rPr>
        <w:t xml:space="preserve"> (Source: TechCrunch, KO News Digest, July 16–17 &amp; 27, 2026)</w:t>
      </w:r>
    </w:p>
    <w:p>
      <w:pPr>
        <w:pStyle w:val="ListBullet"/>
        <w:ind w:left="360" w:hanging="360"/>
      </w:pPr>
      <w:r>
        <w:rPr>
          <w:rFonts w:ascii="Calibri" w:hAnsi="Calibri"/>
          <w:b/>
          <w:color w:val="525866"/>
          <w:sz w:val="22"/>
        </w:rPr>
        <w:t xml:space="preserve">June 25, 2026 — North America Leadership Change: </w:t>
      </w:r>
      <w:r>
        <w:rPr>
          <w:rFonts w:ascii="Calibri" w:hAnsi="Calibri"/>
          <w:color w:val="525866"/>
          <w:sz w:val="22"/>
        </w:rPr>
        <w:t>Jennifer Mann (EVP &amp; President, North America) will depart effective July 31, 2026. CFO John Murphy will assume interim oversight of the North America Operating Unit. A search for a permanent replacement is underway. North America is KO's largest and most profitable segment; the leadership gap adds execution risk heading into the FIFA World Cup marketing cycle.</w:t>
      </w:r>
      <w:r>
        <w:rPr>
          <w:rFonts w:ascii="Calibri" w:hAnsi="Calibri"/>
          <w:color w:val="525866"/>
          <w:sz w:val="22"/>
        </w:rPr>
        <w:t xml:space="preserve"> (Source: KO 8-K, June 25, 2026)</w:t>
      </w:r>
    </w:p>
    <w:p>
      <w:pPr>
        <w:pStyle w:val="ListBullet"/>
        <w:ind w:left="360" w:hanging="360"/>
      </w:pPr>
      <w:r>
        <w:rPr>
          <w:rFonts w:ascii="Calibri" w:hAnsi="Calibri"/>
          <w:b/>
          <w:color w:val="525866"/>
          <w:sz w:val="22"/>
        </w:rPr>
        <w:t xml:space="preserve">July 24, 2026 — Diet Coke India Price Increase: </w:t>
      </w:r>
      <w:r>
        <w:rPr>
          <w:rFonts w:ascii="Calibri" w:hAnsi="Calibri"/>
          <w:color w:val="525866"/>
          <w:sz w:val="22"/>
        </w:rPr>
        <w:t>KO raised Diet Coke prices in India by &gt;10% due to Middle East conflict disrupting aluminum can supply chains via the Strait of Hormuz. The company is sourcing larger, pricier cans from Southeast Asia. Highlights ongoing geopolitical supply chain risk, particularly for aluminum-dependent SKUs.</w:t>
      </w:r>
      <w:r>
        <w:rPr>
          <w:rFonts w:ascii="Calibri" w:hAnsi="Calibri"/>
          <w:color w:val="525866"/>
          <w:sz w:val="22"/>
        </w:rPr>
        <w:t xml:space="preserve"> (Source: Reuters, July 24, 2026)</w:t>
      </w:r>
    </w:p>
    <w:p>
      <w:pPr>
        <w:pStyle w:val="ListBullet"/>
        <w:ind w:left="360" w:hanging="360"/>
      </w:pPr>
      <w:r>
        <w:rPr>
          <w:rFonts w:ascii="Calibri" w:hAnsi="Calibri"/>
          <w:b/>
          <w:color w:val="525866"/>
          <w:sz w:val="22"/>
        </w:rPr>
        <w:t xml:space="preserve">June 4, 2026 — Deutsche Bank Global Consumer Conference: </w:t>
      </w:r>
      <w:r>
        <w:rPr>
          <w:rFonts w:ascii="Calibri" w:hAnsi="Calibri"/>
          <w:color w:val="525866"/>
          <w:sz w:val="22"/>
        </w:rPr>
        <w:t>CFO Murphy reaffirmed the balanced algorithm (volume + price/mix), expressed confidence in 20 consecutive quarters of value share gains, and characterized AI as a "growth enabler" rather than cost reducer. Tone was constructive; no guidance changes. Murphy flagged Middle East uncertainty as an ongoing watch item for 2027 planning.</w:t>
      </w:r>
      <w:r>
        <w:rPr>
          <w:rFonts w:ascii="Calibri" w:hAnsi="Calibri"/>
          <w:color w:val="525866"/>
          <w:sz w:val="22"/>
        </w:rPr>
        <w:t xml:space="preserve"> (Source: KO Deutsche Bank Conference Transcript, June 4, 2026)</w:t>
      </w:r>
    </w:p>
    <w:p>
      <w:pPr>
        <w:pStyle w:val="ListBullet"/>
        <w:ind w:left="360" w:hanging="360"/>
      </w:pPr>
      <w:r>
        <w:rPr>
          <w:rFonts w:ascii="Calibri" w:hAnsi="Calibri"/>
          <w:b/>
          <w:color w:val="525866"/>
          <w:sz w:val="22"/>
        </w:rPr>
        <w:t xml:space="preserve">May 1, 2026 — Annual Shareholder Meeting: </w:t>
      </w:r>
      <w:r>
        <w:rPr>
          <w:rFonts w:ascii="Calibri" w:hAnsi="Calibri"/>
          <w:color w:val="525866"/>
          <w:sz w:val="22"/>
        </w:rPr>
        <w:t>Shareholders backed management on all proposals and rejected all ESG-related shareholder proposals. No material business developments.</w:t>
      </w:r>
      <w:r>
        <w:rPr>
          <w:rFonts w:ascii="Calibri" w:hAnsi="Calibri"/>
          <w:color w:val="525866"/>
          <w:sz w:val="22"/>
        </w:rPr>
        <w:t xml:space="preserve"> (Source: KO 8-K, May 1, 2026)</w:t>
      </w:r>
    </w:p>
    <w:p>
      <w:pPr>
        <w:pStyle w:val="ListBullet"/>
        <w:ind w:left="360" w:hanging="360"/>
      </w:pPr>
      <w:r>
        <w:rPr>
          <w:rFonts w:ascii="Calibri" w:hAnsi="Calibri"/>
          <w:b/>
          <w:color w:val="525866"/>
          <w:sz w:val="22"/>
        </w:rPr>
        <w:t xml:space="preserve">Ongoing — IRS Tax Case Optionality: </w:t>
      </w:r>
      <w:r>
        <w:rPr>
          <w:rFonts w:ascii="Calibri" w:hAnsi="Calibri"/>
          <w:color w:val="525866"/>
          <w:sz w:val="22"/>
        </w:rPr>
        <w:t>Murphy has explicitly framed capital allocation around preserving optionality ahead of the pending IRS tax case. Business investment and dividend growth are non-negotiable; debt reduction is the preferred use of remaining capital. No update on case timing.</w:t>
      </w:r>
      <w:r>
        <w:rPr>
          <w:rFonts w:ascii="Calibri" w:hAnsi="Calibri"/>
          <w:color w:val="525866"/>
          <w:sz w:val="22"/>
        </w:rPr>
        <w:t xml:space="preserve"> (Source: KO Deutsche Bank Conference, June 4, 2026)</w:t>
      </w:r>
    </w:p>
    <w:p>
      <w:pPr>
        <w:pStyle w:val="ListBullet"/>
        <w:ind w:left="360" w:hanging="360"/>
      </w:pPr>
      <w:r>
        <w:rPr>
          <w:rFonts w:ascii="Calibri" w:hAnsi="Calibri"/>
          <w:b/>
          <w:color w:val="525866"/>
          <w:sz w:val="22"/>
        </w:rPr>
        <w:t xml:space="preserve">Ongoing — Middle East Conflict Impact: </w:t>
      </w:r>
      <w:r>
        <w:rPr>
          <w:rFonts w:ascii="Calibri" w:hAnsi="Calibri"/>
          <w:color w:val="525866"/>
          <w:sz w:val="22"/>
        </w:rPr>
        <w:t>Volume in Eurasia and the Middle East declined in March 2026 following the onset of conflict. Management has invoked an "all-weather" playbook. The conflict is also disrupting aluminum can supply chains to India (see Diet Coke price increase above). Outlook for the region remains unclear.</w:t>
      </w:r>
      <w:r>
        <w:rPr>
          <w:rFonts w:ascii="Calibri" w:hAnsi="Calibri"/>
          <w:color w:val="525866"/>
          <w:sz w:val="22"/>
        </w:rPr>
        <w:t xml:space="preserve"> (Source: KO Q1 2026 Earnings Call; KO Deutsche Bank Conference, June 4, 2026)</w:t>
      </w:r>
    </w:p>
    <w:p>
      <w:pPr>
        <w:pStyle w:val="ListBullet"/>
        <w:ind w:left="360" w:hanging="360"/>
      </w:pPr>
      <w:r>
        <w:rPr>
          <w:rFonts w:ascii="Calibri" w:hAnsi="Calibri"/>
          <w:b/>
          <w:color w:val="525866"/>
          <w:sz w:val="22"/>
        </w:rPr>
        <w:t xml:space="preserve">Ongoing — Fairlife Webster Facility Ramp: </w:t>
      </w:r>
      <w:r>
        <w:rPr>
          <w:rFonts w:ascii="Calibri" w:hAnsi="Calibri"/>
          <w:color w:val="525866"/>
          <w:sz w:val="22"/>
        </w:rPr>
        <w:t>The new Webster, TX capacity was expected to begin coming online in Q2 2026 and ramp through the year, adding ~30% to Fairlife production capacity. The ransomware attack may have disrupted this ramp timeline — a key question for the call.</w:t>
      </w:r>
      <w:r>
        <w:rPr>
          <w:rFonts w:ascii="Calibri" w:hAnsi="Calibri"/>
          <w:color w:val="525866"/>
          <w:sz w:val="22"/>
        </w:rPr>
        <w:t xml:space="preserve"> (Source: KO Q1 2026 Earnings Call)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most notable transaction is a large discretionary (non-10b5-1) sale by Chairman James Quincey in May 2026 — 200,000 shares worth ~$15.7M — which stands out given its non-planned nature. Jennifer Mann's pre-departure sales in June were all under a 10b5-1 plan and are consistent with her separation agreement.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Quincey, James</w:t>
            </w:r>
          </w:p>
        </w:tc>
        <w:tc>
          <w:tcPr>
            <w:tcW w:type="dxa" w:w="1234"/>
          </w:tcPr>
          <w:p>
            <w:r>
              <w:rPr>
                <w:rFonts w:ascii="Calibri" w:hAnsi="Calibri"/>
                <w:sz w:val="22"/>
              </w:rPr>
              <w:t>Chairman, Director</w:t>
            </w:r>
          </w:p>
        </w:tc>
        <w:tc>
          <w:tcPr>
            <w:tcW w:type="dxa" w:w="1234"/>
          </w:tcPr>
          <w:p>
            <w:r>
              <w:rPr>
                <w:rFonts w:ascii="Calibri" w:hAnsi="Calibri"/>
                <w:b/>
                <w:color w:val="E5484D"/>
                <w:sz w:val="22"/>
              </w:rPr>
              <w:t>Open Market Sale</w:t>
            </w:r>
          </w:p>
        </w:tc>
        <w:tc>
          <w:tcPr>
            <w:tcW w:type="dxa" w:w="1234"/>
          </w:tcPr>
          <w:p>
            <w:r>
              <w:rPr>
                <w:rFonts w:ascii="Calibri" w:hAnsi="Calibri"/>
                <w:sz w:val="22"/>
              </w:rPr>
              <w:t>200,000</w:t>
            </w:r>
          </w:p>
        </w:tc>
        <w:tc>
          <w:tcPr>
            <w:tcW w:type="dxa" w:w="1234"/>
          </w:tcPr>
          <w:p>
            <w:r>
              <w:rPr>
                <w:rFonts w:ascii="Calibri" w:hAnsi="Calibri"/>
                <w:sz w:val="22"/>
              </w:rPr>
              <w:t>~$15.7M</w:t>
            </w:r>
          </w:p>
        </w:tc>
        <w:tc>
          <w:tcPr>
            <w:tcW w:type="dxa" w:w="1234"/>
          </w:tcPr>
          <w:p>
            <w:r>
              <w:rPr>
                <w:rFonts w:ascii="Calibri" w:hAnsi="Calibri"/>
                <w:sz w:val="22"/>
              </w:rPr>
              <w:t>May 7, 2026</w:t>
            </w:r>
          </w:p>
        </w:tc>
        <w:tc>
          <w:tcPr>
            <w:tcW w:type="dxa" w:w="1234"/>
          </w:tcPr>
          <w:p>
            <w:r>
              <w:rPr>
                <w:rFonts w:ascii="Calibri" w:hAnsi="Calibri"/>
                <w:sz w:val="22"/>
              </w:rPr>
              <w:t>Discretionary sale (NOT under 10b5-1 plan) — notable given size and non-planned nature</w:t>
            </w:r>
          </w:p>
        </w:tc>
      </w:tr>
      <w:tr>
        <w:tc>
          <w:tcPr>
            <w:tcW w:type="dxa" w:w="1234"/>
          </w:tcPr>
          <w:p>
            <w:r>
              <w:rPr>
                <w:rFonts w:ascii="Calibri" w:hAnsi="Calibri"/>
                <w:sz w:val="22"/>
              </w:rPr>
              <w:t>Quincey, James</w:t>
            </w:r>
          </w:p>
        </w:tc>
        <w:tc>
          <w:tcPr>
            <w:tcW w:type="dxa" w:w="1234"/>
          </w:tcPr>
          <w:p>
            <w:r>
              <w:rPr>
                <w:rFonts w:ascii="Calibri" w:hAnsi="Calibri"/>
                <w:sz w:val="22"/>
              </w:rPr>
              <w:t>Chairman, Director</w:t>
            </w:r>
          </w:p>
        </w:tc>
        <w:tc>
          <w:tcPr>
            <w:tcW w:type="dxa" w:w="1234"/>
          </w:tcPr>
          <w:p>
            <w:r>
              <w:rPr>
                <w:rFonts w:ascii="Calibri" w:hAnsi="Calibri"/>
                <w:sz w:val="22"/>
              </w:rPr>
              <w:t>10b5-1 Planned Sale</w:t>
            </w:r>
          </w:p>
        </w:tc>
        <w:tc>
          <w:tcPr>
            <w:tcW w:type="dxa" w:w="1234"/>
          </w:tcPr>
          <w:p>
            <w:r>
              <w:rPr>
                <w:rFonts w:ascii="Calibri" w:hAnsi="Calibri"/>
                <w:sz w:val="22"/>
              </w:rPr>
              <w:t>436,296</w:t>
            </w:r>
          </w:p>
        </w:tc>
        <w:tc>
          <w:tcPr>
            <w:tcW w:type="dxa" w:w="1234"/>
          </w:tcPr>
          <w:p>
            <w:r>
              <w:rPr>
                <w:rFonts w:ascii="Calibri" w:hAnsi="Calibri"/>
                <w:sz w:val="22"/>
              </w:rPr>
              <w:t>~$34.7M</w:t>
            </w:r>
          </w:p>
        </w:tc>
        <w:tc>
          <w:tcPr>
            <w:tcW w:type="dxa" w:w="1234"/>
          </w:tcPr>
          <w:p>
            <w:r>
              <w:rPr>
                <w:rFonts w:ascii="Calibri" w:hAnsi="Calibri"/>
                <w:sz w:val="22"/>
              </w:rPr>
              <w:t>June 5, 2026</w:t>
            </w:r>
          </w:p>
        </w:tc>
        <w:tc>
          <w:tcPr>
            <w:tcW w:type="dxa" w:w="1234"/>
          </w:tcPr>
          <w:p>
            <w:r>
              <w:rPr>
                <w:rFonts w:ascii="Calibri" w:hAnsi="Calibri"/>
                <w:sz w:val="22"/>
              </w:rPr>
              <w:t>Pre-planned 10b5-1 sale; routine in nature</w:t>
            </w:r>
          </w:p>
        </w:tc>
      </w:tr>
      <w:tr>
        <w:tc>
          <w:tcPr>
            <w:tcW w:type="dxa" w:w="1234"/>
          </w:tcPr>
          <w:p>
            <w:r>
              <w:rPr>
                <w:rFonts w:ascii="Calibri" w:hAnsi="Calibri"/>
                <w:sz w:val="22"/>
              </w:rPr>
              <w:t>Quincey, James</w:t>
            </w:r>
          </w:p>
        </w:tc>
        <w:tc>
          <w:tcPr>
            <w:tcW w:type="dxa" w:w="1234"/>
          </w:tcPr>
          <w:p>
            <w:r>
              <w:rPr>
                <w:rFonts w:ascii="Calibri" w:hAnsi="Calibri"/>
                <w:sz w:val="22"/>
              </w:rPr>
              <w:t>Chairman, Director</w:t>
            </w:r>
          </w:p>
        </w:tc>
        <w:tc>
          <w:tcPr>
            <w:tcW w:type="dxa" w:w="1234"/>
          </w:tcPr>
          <w:p>
            <w:r>
              <w:rPr>
                <w:rFonts w:ascii="Calibri" w:hAnsi="Calibri"/>
                <w:sz w:val="22"/>
              </w:rPr>
              <w:t>10b5-1 Planned Sale</w:t>
            </w:r>
          </w:p>
        </w:tc>
        <w:tc>
          <w:tcPr>
            <w:tcW w:type="dxa" w:w="1234"/>
          </w:tcPr>
          <w:p>
            <w:r>
              <w:rPr>
                <w:rFonts w:ascii="Calibri" w:hAnsi="Calibri"/>
                <w:sz w:val="22"/>
              </w:rPr>
              <w:t>8,000</w:t>
            </w:r>
          </w:p>
        </w:tc>
        <w:tc>
          <w:tcPr>
            <w:tcW w:type="dxa" w:w="1234"/>
          </w:tcPr>
          <w:p>
            <w:r>
              <w:rPr>
                <w:rFonts w:ascii="Calibri" w:hAnsi="Calibri"/>
                <w:sz w:val="22"/>
              </w:rPr>
              <w:t>~$0.6M</w:t>
            </w:r>
          </w:p>
        </w:tc>
        <w:tc>
          <w:tcPr>
            <w:tcW w:type="dxa" w:w="1234"/>
          </w:tcPr>
          <w:p>
            <w:r>
              <w:rPr>
                <w:rFonts w:ascii="Calibri" w:hAnsi="Calibri"/>
                <w:sz w:val="22"/>
              </w:rPr>
              <w:t>June 4, 2026</w:t>
            </w:r>
          </w:p>
        </w:tc>
        <w:tc>
          <w:tcPr>
            <w:tcW w:type="dxa" w:w="1234"/>
          </w:tcPr>
          <w:p>
            <w:r>
              <w:rPr>
                <w:rFonts w:ascii="Calibri" w:hAnsi="Calibri"/>
                <w:sz w:val="22"/>
              </w:rPr>
              <w:t>Pre-planned 10b5-1 sale; routine in nature</w:t>
            </w:r>
          </w:p>
        </w:tc>
      </w:tr>
      <w:tr>
        <w:tc>
          <w:tcPr>
            <w:tcW w:type="dxa" w:w="1234"/>
          </w:tcPr>
          <w:p>
            <w:r>
              <w:rPr>
                <w:rFonts w:ascii="Calibri" w:hAnsi="Calibri"/>
                <w:sz w:val="22"/>
              </w:rPr>
              <w:t>Mann, Jennifer K.</w:t>
            </w:r>
          </w:p>
        </w:tc>
        <w:tc>
          <w:tcPr>
            <w:tcW w:type="dxa" w:w="1234"/>
          </w:tcPr>
          <w:p>
            <w:r>
              <w:rPr>
                <w:rFonts w:ascii="Calibri" w:hAnsi="Calibri"/>
                <w:sz w:val="22"/>
              </w:rPr>
              <w:t>EVP, President North America</w:t>
            </w:r>
          </w:p>
        </w:tc>
        <w:tc>
          <w:tcPr>
            <w:tcW w:type="dxa" w:w="1234"/>
          </w:tcPr>
          <w:p>
            <w:r>
              <w:rPr>
                <w:rFonts w:ascii="Calibri" w:hAnsi="Calibri"/>
                <w:sz w:val="22"/>
              </w:rPr>
              <w:t>10b5-1 Planned Sale</w:t>
            </w:r>
          </w:p>
        </w:tc>
        <w:tc>
          <w:tcPr>
            <w:tcW w:type="dxa" w:w="1234"/>
          </w:tcPr>
          <w:p>
            <w:r>
              <w:rPr>
                <w:rFonts w:ascii="Calibri" w:hAnsi="Calibri"/>
                <w:sz w:val="22"/>
              </w:rPr>
              <w:t>100,000</w:t>
            </w:r>
          </w:p>
        </w:tc>
        <w:tc>
          <w:tcPr>
            <w:tcW w:type="dxa" w:w="1234"/>
          </w:tcPr>
          <w:p>
            <w:r>
              <w:rPr>
                <w:rFonts w:ascii="Calibri" w:hAnsi="Calibri"/>
                <w:sz w:val="22"/>
              </w:rPr>
              <w:t>~$7.9M</w:t>
            </w:r>
          </w:p>
        </w:tc>
        <w:tc>
          <w:tcPr>
            <w:tcW w:type="dxa" w:w="1234"/>
          </w:tcPr>
          <w:p>
            <w:r>
              <w:rPr>
                <w:rFonts w:ascii="Calibri" w:hAnsi="Calibri"/>
                <w:sz w:val="22"/>
              </w:rPr>
              <w:t>June 5, 2026</w:t>
            </w:r>
          </w:p>
        </w:tc>
        <w:tc>
          <w:tcPr>
            <w:tcW w:type="dxa" w:w="1234"/>
          </w:tcPr>
          <w:p>
            <w:r>
              <w:rPr>
                <w:rFonts w:ascii="Calibri" w:hAnsi="Calibri"/>
                <w:sz w:val="22"/>
              </w:rPr>
              <w:t>Pre-planned 10b5-1 sale; consistent with separation agreement terms</w:t>
            </w:r>
          </w:p>
        </w:tc>
      </w:tr>
      <w:tr>
        <w:tc>
          <w:tcPr>
            <w:tcW w:type="dxa" w:w="1234"/>
          </w:tcPr>
          <w:p>
            <w:r>
              <w:rPr>
                <w:rFonts w:ascii="Calibri" w:hAnsi="Calibri"/>
                <w:sz w:val="22"/>
              </w:rPr>
              <w:t>Mann, Jennifer K.</w:t>
            </w:r>
          </w:p>
        </w:tc>
        <w:tc>
          <w:tcPr>
            <w:tcW w:type="dxa" w:w="1234"/>
          </w:tcPr>
          <w:p>
            <w:r>
              <w:rPr>
                <w:rFonts w:ascii="Calibri" w:hAnsi="Calibri"/>
                <w:sz w:val="22"/>
              </w:rPr>
              <w:t>EVP, President North America</w:t>
            </w:r>
          </w:p>
        </w:tc>
        <w:tc>
          <w:tcPr>
            <w:tcW w:type="dxa" w:w="1234"/>
          </w:tcPr>
          <w:p>
            <w:r>
              <w:rPr>
                <w:rFonts w:ascii="Calibri" w:hAnsi="Calibri"/>
                <w:sz w:val="22"/>
              </w:rPr>
              <w:t>10b5-1 Planned Sale</w:t>
            </w:r>
          </w:p>
        </w:tc>
        <w:tc>
          <w:tcPr>
            <w:tcW w:type="dxa" w:w="1234"/>
          </w:tcPr>
          <w:p>
            <w:r>
              <w:rPr>
                <w:rFonts w:ascii="Calibri" w:hAnsi="Calibri"/>
                <w:sz w:val="22"/>
              </w:rPr>
              <w:t>100,000</w:t>
            </w:r>
          </w:p>
        </w:tc>
        <w:tc>
          <w:tcPr>
            <w:tcW w:type="dxa" w:w="1234"/>
          </w:tcPr>
          <w:p>
            <w:r>
              <w:rPr>
                <w:rFonts w:ascii="Calibri" w:hAnsi="Calibri"/>
                <w:sz w:val="22"/>
              </w:rPr>
              <w:t>~$8.1M</w:t>
            </w:r>
          </w:p>
        </w:tc>
        <w:tc>
          <w:tcPr>
            <w:tcW w:type="dxa" w:w="1234"/>
          </w:tcPr>
          <w:p>
            <w:r>
              <w:rPr>
                <w:rFonts w:ascii="Calibri" w:hAnsi="Calibri"/>
                <w:sz w:val="22"/>
              </w:rPr>
              <w:t>June 8, 2026</w:t>
            </w:r>
          </w:p>
        </w:tc>
        <w:tc>
          <w:tcPr>
            <w:tcW w:type="dxa" w:w="1234"/>
          </w:tcPr>
          <w:p>
            <w:r>
              <w:rPr>
                <w:rFonts w:ascii="Calibri" w:hAnsi="Calibri"/>
                <w:sz w:val="22"/>
              </w:rPr>
              <w:t>Pre-planned 10b5-1 sale; consistent with separation agreement terms</w:t>
            </w:r>
          </w:p>
        </w:tc>
      </w:tr>
      <w:tr>
        <w:tc>
          <w:tcPr>
            <w:tcW w:type="dxa" w:w="1234"/>
          </w:tcPr>
          <w:p>
            <w:r>
              <w:rPr>
                <w:rFonts w:ascii="Calibri" w:hAnsi="Calibri"/>
                <w:sz w:val="22"/>
              </w:rPr>
              <w:t>Mann, Jennifer K.</w:t>
            </w:r>
          </w:p>
        </w:tc>
        <w:tc>
          <w:tcPr>
            <w:tcW w:type="dxa" w:w="1234"/>
          </w:tcPr>
          <w:p>
            <w:r>
              <w:rPr>
                <w:rFonts w:ascii="Calibri" w:hAnsi="Calibri"/>
                <w:sz w:val="22"/>
              </w:rPr>
              <w:t>EVP, President North America</w:t>
            </w:r>
          </w:p>
        </w:tc>
        <w:tc>
          <w:tcPr>
            <w:tcW w:type="dxa" w:w="1234"/>
          </w:tcPr>
          <w:p>
            <w:r>
              <w:rPr>
                <w:rFonts w:ascii="Calibri" w:hAnsi="Calibri"/>
                <w:sz w:val="22"/>
              </w:rPr>
              <w:t>10b5-1 Planned Sale</w:t>
            </w:r>
          </w:p>
        </w:tc>
        <w:tc>
          <w:tcPr>
            <w:tcW w:type="dxa" w:w="1234"/>
          </w:tcPr>
          <w:p>
            <w:r>
              <w:rPr>
                <w:rFonts w:ascii="Calibri" w:hAnsi="Calibri"/>
                <w:sz w:val="22"/>
              </w:rPr>
              <w:t>100,000</w:t>
            </w:r>
          </w:p>
        </w:tc>
        <w:tc>
          <w:tcPr>
            <w:tcW w:type="dxa" w:w="1234"/>
          </w:tcPr>
          <w:p>
            <w:r>
              <w:rPr>
                <w:rFonts w:ascii="Calibri" w:hAnsi="Calibri"/>
                <w:sz w:val="22"/>
              </w:rPr>
              <w:t>~$8.1M</w:t>
            </w:r>
          </w:p>
        </w:tc>
        <w:tc>
          <w:tcPr>
            <w:tcW w:type="dxa" w:w="1234"/>
          </w:tcPr>
          <w:p>
            <w:r>
              <w:rPr>
                <w:rFonts w:ascii="Calibri" w:hAnsi="Calibri"/>
                <w:sz w:val="22"/>
              </w:rPr>
              <w:t>June 9, 2026</w:t>
            </w:r>
          </w:p>
        </w:tc>
        <w:tc>
          <w:tcPr>
            <w:tcW w:type="dxa" w:w="1234"/>
          </w:tcPr>
          <w:p>
            <w:r>
              <w:rPr>
                <w:rFonts w:ascii="Calibri" w:hAnsi="Calibri"/>
                <w:sz w:val="22"/>
              </w:rPr>
              <w:t>Pre-planned 10b5-1 sale; consistent with separation agreement terms</w:t>
            </w:r>
          </w:p>
        </w:tc>
      </w:tr>
      <w:tr>
        <w:tc>
          <w:tcPr>
            <w:tcW w:type="dxa" w:w="1234"/>
          </w:tcPr>
          <w:p>
            <w:r>
              <w:rPr>
                <w:rFonts w:ascii="Calibri" w:hAnsi="Calibri"/>
                <w:sz w:val="22"/>
              </w:rPr>
              <w:t>Mann, Jennifer K.</w:t>
            </w:r>
          </w:p>
        </w:tc>
        <w:tc>
          <w:tcPr>
            <w:tcW w:type="dxa" w:w="1234"/>
          </w:tcPr>
          <w:p>
            <w:r>
              <w:rPr>
                <w:rFonts w:ascii="Calibri" w:hAnsi="Calibri"/>
                <w:sz w:val="22"/>
              </w:rPr>
              <w:t>EVP, President North America</w:t>
            </w:r>
          </w:p>
        </w:tc>
        <w:tc>
          <w:tcPr>
            <w:tcW w:type="dxa" w:w="1234"/>
          </w:tcPr>
          <w:p>
            <w:r>
              <w:rPr>
                <w:rFonts w:ascii="Calibri" w:hAnsi="Calibri"/>
                <w:sz w:val="22"/>
              </w:rPr>
              <w:t>10b5-1 Planned Sale</w:t>
            </w:r>
          </w:p>
        </w:tc>
        <w:tc>
          <w:tcPr>
            <w:tcW w:type="dxa" w:w="1234"/>
          </w:tcPr>
          <w:p>
            <w:r>
              <w:rPr>
                <w:rFonts w:ascii="Calibri" w:hAnsi="Calibri"/>
                <w:sz w:val="22"/>
              </w:rPr>
              <w:t>23,984</w:t>
            </w:r>
          </w:p>
        </w:tc>
        <w:tc>
          <w:tcPr>
            <w:tcW w:type="dxa" w:w="1234"/>
          </w:tcPr>
          <w:p>
            <w:r>
              <w:rPr>
                <w:rFonts w:ascii="Calibri" w:hAnsi="Calibri"/>
                <w:sz w:val="22"/>
              </w:rPr>
              <w:t>~$2.0M</w:t>
            </w:r>
          </w:p>
        </w:tc>
        <w:tc>
          <w:tcPr>
            <w:tcW w:type="dxa" w:w="1234"/>
          </w:tcPr>
          <w:p>
            <w:r>
              <w:rPr>
                <w:rFonts w:ascii="Calibri" w:hAnsi="Calibri"/>
                <w:sz w:val="22"/>
              </w:rPr>
              <w:t>June 10, 2026</w:t>
            </w:r>
          </w:p>
        </w:tc>
        <w:tc>
          <w:tcPr>
            <w:tcW w:type="dxa" w:w="1234"/>
          </w:tcPr>
          <w:p>
            <w:r>
              <w:rPr>
                <w:rFonts w:ascii="Calibri" w:hAnsi="Calibri"/>
                <w:sz w:val="22"/>
              </w:rPr>
              <w:t>Pre-planned 10b5-1 sale; consistent with separation agreement terms</w:t>
            </w:r>
          </w:p>
        </w:tc>
      </w:tr>
    </w:tbl>
    <w:p>
      <w:r>
        <w:rPr>
          <w:rFonts w:ascii="Calibri" w:hAnsi="Calibri"/>
          <w:i/>
          <w:color w:val="525866"/>
          <w:sz w:val="22"/>
        </w:rPr>
        <w:t xml:space="preserve">Source: SEC Form 4 Filings Database. </w:t>
      </w:r>
      <w:r>
        <w:rPr>
          <w:rFonts w:ascii="Calibri" w:hAnsi="Calibri"/>
          <w:i/>
          <w:color w:val="525866"/>
          <w:sz w:val="22"/>
        </w:rPr>
        <w:t>The Chairman's May 7 discretionary sale of 200,000 shares is the most notable signal — it was not under a 10b5-1 plan, making it a deliberate decision at ~$78/share. While not necessarily bearish (Quincey retains ~122,833 shares), the timing — shortly after Q1 earnings and before the stock's subsequent rally to $84+ — is worth noting. Mann's sales are entirely explained by her separation agreement and carry no informational signal.</w:t>
      </w:r>
    </w:p>
    <w:p>
      <w:r>
        <w:br w:type="page"/>
      </w:r>
    </w:p>
    <w:p>
      <w:pPr>
        <w:pStyle w:val="Heading2"/>
      </w:pPr>
      <w:r>
        <w:rPr>
          <w:rFonts w:ascii="Calibri" w:hAnsi="Calibri"/>
          <w:b/>
          <w:color w:val="3B4259"/>
          <w:sz w:val="28"/>
        </w:rPr>
        <w:t>8. Peer Commentary &amp; Read-Throughs (Last 60 Days, Q2 2026 / Forward-Looking Only)</w:t>
      </w:r>
    </w:p>
    <w:p>
      <w:r>
        <w:rPr>
          <w:rFonts w:ascii="Calibri" w:hAnsi="Calibri"/>
          <w:b/>
          <w:color w:val="525866"/>
          <w:sz w:val="22"/>
        </w:rPr>
        <w:t xml:space="preserve">Key Takeaway: </w:t>
      </w:r>
      <w:r>
        <w:rPr>
          <w:rFonts w:ascii="Calibri" w:hAnsi="Calibri"/>
          <w:color w:val="525866"/>
          <w:sz w:val="22"/>
        </w:rPr>
        <w:t>Peer commentary from the last 60 days is broadly constructive for KO's Q2 setup: PepsiCo's Q2 international beverage franchise grew +9% organically, KDP reaffirmed full-year guidance, and Monster highlighted ongoing distribution expansion via the Coca-Cola system. The key divergence is PepsiCo's North America beverage softness (organic volume -2%), which may not read through to KO given KO's stronger brand positioning and different portfolio mix.</w:t>
      </w:r>
    </w:p>
    <w:p>
      <w:pPr>
        <w:pStyle w:val="Heading3"/>
      </w:pPr>
      <w:r>
        <w:rPr>
          <w:rFonts w:ascii="Calibri" w:hAnsi="Calibri"/>
          <w:b/>
          <w:color w:val="3B4259"/>
          <w:sz w:val="24"/>
        </w:rPr>
        <w:t>PepsiCo (PEP) — Q2 2026 Earnings (Reported July 9, 2026)</w:t>
      </w:r>
    </w:p>
    <w:p>
      <w:r>
        <w:rPr>
          <w:rFonts w:ascii="Calibri" w:hAnsi="Calibri"/>
          <w:b/>
          <w:color w:val="525866"/>
          <w:sz w:val="22"/>
        </w:rPr>
        <w:t xml:space="preserve">Relevance: </w:t>
      </w:r>
      <w:r>
        <w:rPr>
          <w:rFonts w:ascii="Calibri" w:hAnsi="Calibri"/>
          <w:color w:val="525866"/>
          <w:sz w:val="22"/>
        </w:rPr>
        <w:t>PEP is KO's closest global beverage peer. Its Q2 2026 results and commentary speak directly to current-period conditions in U.S. and international beverage markets.</w:t>
      </w:r>
    </w:p>
    <w:p>
      <w:pPr>
        <w:pStyle w:val="ListBullet"/>
        <w:ind w:left="360" w:hanging="360"/>
      </w:pPr>
      <w:r>
        <w:rPr>
          <w:rFonts w:ascii="Calibri" w:hAnsi="Calibri"/>
          <w:b/>
          <w:color w:val="525866"/>
          <w:sz w:val="22"/>
        </w:rPr>
        <w:t xml:space="preserve">Global Beverages Performing Well Internationally: </w:t>
      </w:r>
      <w:r>
        <w:rPr>
          <w:rFonts w:ascii="Calibri" w:hAnsi="Calibri"/>
          <w:color w:val="525866"/>
          <w:sz w:val="22"/>
        </w:rPr>
        <w:t>PepsiCo's International Beverages Franchise segment delivered +9% organic revenue growth and +6% organic volume growth in Q2 2026, with EMEA up +6% organically. CEO Laguarta cited "strong organic volume and net revenue growth for the global convenient foods and global beverages businesses." This is a positive read-through for KO's international segments (EMEA, Latin America, Asia Pacific), suggesting the global beverage demand environment remains healthy.</w:t>
      </w:r>
      <w:r>
        <w:rPr>
          <w:rFonts w:ascii="Calibri" w:hAnsi="Calibri"/>
          <w:color w:val="525866"/>
          <w:sz w:val="22"/>
        </w:rPr>
        <w:t xml:space="preserve"> (Source: PepsiCo Q2 2026 Earnings Release, July 8, 2026)</w:t>
      </w:r>
    </w:p>
    <w:p>
      <w:pPr>
        <w:pStyle w:val="ListBullet"/>
        <w:ind w:left="360" w:hanging="360"/>
      </w:pPr>
      <w:r>
        <w:rPr>
          <w:rFonts w:ascii="Calibri" w:hAnsi="Calibri"/>
          <w:b/>
          <w:color w:val="525866"/>
          <w:sz w:val="22"/>
        </w:rPr>
        <w:t xml:space="preserve">North America Beverages Softer — But KO-Specific Dynamics Differ: </w:t>
      </w:r>
      <w:r>
        <w:rPr>
          <w:rFonts w:ascii="Calibri" w:hAnsi="Calibri"/>
          <w:color w:val="525866"/>
          <w:sz w:val="22"/>
        </w:rPr>
        <w:t>PepsiCo's North America Beverages (PBNA) delivered only +1% organic revenue growth in Q2, with organic volume declining -2%. PEP attributed this to consumer belt-tightening and increased promotions. However, KO's North America portfolio is more cola-centric (Trademark Coca-Cola, Sprite) and has been gaining value share for 20 consecutive quarters — the read-through is cautionary but not directly comparable. KO's Q1 North America volume was positive and management expressed confidence in the segment.</w:t>
      </w:r>
      <w:r>
        <w:rPr>
          <w:rFonts w:ascii="Calibri" w:hAnsi="Calibri"/>
          <w:color w:val="525866"/>
          <w:sz w:val="22"/>
        </w:rPr>
        <w:t xml:space="preserve"> (Source: PepsiCo Q2 2026 Earnings Release &amp; Call, July 8–9, 2026; Barron's, July 9, 2026)</w:t>
      </w:r>
    </w:p>
    <w:p>
      <w:pPr>
        <w:pStyle w:val="ListBullet"/>
        <w:ind w:left="360" w:hanging="360"/>
      </w:pPr>
      <w:r>
        <w:rPr>
          <w:rFonts w:ascii="Calibri" w:hAnsi="Calibri"/>
          <w:b/>
          <w:color w:val="525866"/>
          <w:sz w:val="22"/>
        </w:rPr>
        <w:t xml:space="preserve">Affordability Initiatives Driving Volume: </w:t>
      </w:r>
      <w:r>
        <w:rPr>
          <w:rFonts w:ascii="Calibri" w:hAnsi="Calibri"/>
          <w:color w:val="525866"/>
          <w:sz w:val="22"/>
        </w:rPr>
        <w:t>PEP noted that its convenient foods business gained volume market share "aided by innovation and affordability initiatives." This confirms the industry-wide trend toward price-pack architecture and value offerings — consistent with KO's own RGM strategy and management's commentary at the Deutsche Bank conference about serving lower-income consumers through affordability levers.</w:t>
      </w:r>
      <w:r>
        <w:rPr>
          <w:rFonts w:ascii="Calibri" w:hAnsi="Calibri"/>
          <w:color w:val="525866"/>
          <w:sz w:val="22"/>
        </w:rPr>
        <w:t xml:space="preserve"> (Source: PepsiCo Q2 2026 Earnings Release, July 8, 2026)</w:t>
      </w:r>
    </w:p>
    <w:p>
      <w:pPr>
        <w:pStyle w:val="ListBullet"/>
        <w:ind w:left="360" w:hanging="360"/>
      </w:pPr>
      <w:r>
        <w:rPr>
          <w:rFonts w:ascii="Calibri" w:hAnsi="Calibri"/>
          <w:b/>
          <w:color w:val="525866"/>
          <w:sz w:val="22"/>
        </w:rPr>
        <w:t xml:space="preserve">FY2026 Guidance Affirmed: </w:t>
      </w:r>
      <w:r>
        <w:rPr>
          <w:rFonts w:ascii="Calibri" w:hAnsi="Calibri"/>
          <w:color w:val="525866"/>
          <w:sz w:val="22"/>
        </w:rPr>
        <w:t>PEP reaffirmed FY2026 guidance for organic revenue growth of +2–4% and core constant currency EPS growth of +4–6%, with a ~+1 point FX tailwind. The reaffirmation signals stable industry conditions and no macro deterioration that would impair KO's own guidance.</w:t>
      </w:r>
      <w:r>
        <w:rPr>
          <w:rFonts w:ascii="Calibri" w:hAnsi="Calibri"/>
          <w:color w:val="525866"/>
          <w:sz w:val="22"/>
        </w:rPr>
        <w:t xml:space="preserve"> (Source: PepsiCo Q2 2026 Earnings Release, July 8, 2026)</w:t>
      </w:r>
    </w:p>
    <w:p>
      <w:pPr>
        <w:pStyle w:val="ListBullet"/>
        <w:ind w:left="360" w:hanging="360"/>
      </w:pPr>
      <w:r>
        <w:rPr>
          <w:rFonts w:ascii="Calibri" w:hAnsi="Calibri"/>
          <w:b/>
          <w:color w:val="525866"/>
          <w:sz w:val="22"/>
        </w:rPr>
        <w:t xml:space="preserve">Commodity Cost Pressure Acknowledged: </w:t>
      </w:r>
      <w:r>
        <w:rPr>
          <w:rFonts w:ascii="Calibri" w:hAnsi="Calibri"/>
          <w:color w:val="525866"/>
          <w:sz w:val="22"/>
        </w:rPr>
        <w:t>PEP noted that core operating profit performance was "partially offset by certain operating cost increases," and flagged ongoing commodity and packaging cost volatility. This is consistent with KO's Q1 commentary about manageable but present commodity headwinds (tea, coffee, aluminum, PET). Investors should watch KO's gross margin commentary closely.</w:t>
      </w:r>
      <w:r>
        <w:rPr>
          <w:rFonts w:ascii="Calibri" w:hAnsi="Calibri"/>
          <w:color w:val="525866"/>
          <w:sz w:val="22"/>
        </w:rPr>
        <w:t xml:space="preserve"> (Source: PepsiCo Q2 2026 Earnings Release, July 8, 2026)</w:t>
      </w:r>
    </w:p>
    <w:p>
      <w:pPr>
        <w:pStyle w:val="Heading3"/>
      </w:pPr>
      <w:r>
        <w:rPr>
          <w:rFonts w:ascii="Calibri" w:hAnsi="Calibri"/>
          <w:b/>
          <w:color w:val="3B4259"/>
          <w:sz w:val="24"/>
        </w:rPr>
        <w:t>Keurig Dr Pepper (KDP) — Deutsche Bank Conference (June 3, 2026) &amp; 8-K (June 23, 2026)</w:t>
      </w:r>
    </w:p>
    <w:p>
      <w:r>
        <w:rPr>
          <w:rFonts w:ascii="Calibri" w:hAnsi="Calibri"/>
          <w:b/>
          <w:color w:val="525866"/>
          <w:sz w:val="22"/>
        </w:rPr>
        <w:t xml:space="preserve">Relevance: </w:t>
      </w:r>
      <w:r>
        <w:rPr>
          <w:rFonts w:ascii="Calibri" w:hAnsi="Calibri"/>
          <w:color w:val="525866"/>
          <w:sz w:val="22"/>
        </w:rPr>
        <w:t>KDP is a major U.S. beverage peer. Its June 2026 commentary speaks to current-period CSD category dynamics and the broader U.S. beverage market.</w:t>
      </w:r>
    </w:p>
    <w:p>
      <w:pPr>
        <w:pStyle w:val="ListBullet"/>
        <w:ind w:left="360" w:hanging="360"/>
      </w:pPr>
      <w:r>
        <w:rPr>
          <w:rFonts w:ascii="Calibri" w:hAnsi="Calibri"/>
          <w:b/>
          <w:color w:val="525866"/>
          <w:sz w:val="22"/>
        </w:rPr>
        <w:t xml:space="preserve">CSD Category Remains Healthy: </w:t>
      </w:r>
      <w:r>
        <w:rPr>
          <w:rFonts w:ascii="Calibri" w:hAnsi="Calibri"/>
          <w:color w:val="525866"/>
          <w:sz w:val="22"/>
        </w:rPr>
        <w:t>KDP described the CSD category as generating "nearly $50 billion in annual retail sales in the U.S." growing at a "mid-single-digit CAGR in recent years." Zero sugar and low-calorie options have grown at a "double-digit rate" and now represent 1/3 of the CSD category. This is a strong positive read-through for KO's Coca-Cola Zero Sugar, which grew +13% YoY in Q1 2026.</w:t>
      </w:r>
      <w:r>
        <w:rPr>
          <w:rFonts w:ascii="Calibri" w:hAnsi="Calibri"/>
          <w:color w:val="525866"/>
          <w:sz w:val="22"/>
        </w:rPr>
        <w:t xml:space="preserve"> (Source: KDP Deutsche Bank Conference Transcript, June 3, 2026)</w:t>
      </w:r>
    </w:p>
    <w:p>
      <w:pPr>
        <w:pStyle w:val="ListBullet"/>
        <w:ind w:left="360" w:hanging="360"/>
      </w:pPr>
      <w:r>
        <w:rPr>
          <w:rFonts w:ascii="Calibri" w:hAnsi="Calibri"/>
          <w:b/>
          <w:color w:val="525866"/>
          <w:sz w:val="22"/>
        </w:rPr>
        <w:t xml:space="preserve">Private Label Penetration Remains Minimal: </w:t>
      </w:r>
      <w:r>
        <w:rPr>
          <w:rFonts w:ascii="Calibri" w:hAnsi="Calibri"/>
          <w:color w:val="525866"/>
          <w:sz w:val="22"/>
        </w:rPr>
        <w:t>KDP highlighted that CSD private label penetration is only 2% vs. 21% for the average CPG category, "reinforcing the power of brands in beverages." This is a structural positive for KO's branded portfolio and pricing power.</w:t>
      </w:r>
      <w:r>
        <w:rPr>
          <w:rFonts w:ascii="Calibri" w:hAnsi="Calibri"/>
          <w:color w:val="525866"/>
          <w:sz w:val="22"/>
        </w:rPr>
        <w:t xml:space="preserve"> (Source: KDP Deutsche Bank Conference Transcript, June 3, 2026)</w:t>
      </w:r>
    </w:p>
    <w:p>
      <w:pPr>
        <w:pStyle w:val="ListBullet"/>
        <w:ind w:left="360" w:hanging="360"/>
      </w:pPr>
      <w:r>
        <w:rPr>
          <w:rFonts w:ascii="Calibri" w:hAnsi="Calibri"/>
          <w:b/>
          <w:color w:val="525866"/>
          <w:sz w:val="22"/>
        </w:rPr>
        <w:t xml:space="preserve">Canada Dry Gaining Share in 2026: </w:t>
      </w:r>
      <w:r>
        <w:rPr>
          <w:rFonts w:ascii="Calibri" w:hAnsi="Calibri"/>
          <w:color w:val="525866"/>
          <w:sz w:val="22"/>
        </w:rPr>
        <w:t>KDP noted Canada Dry is "on track to gain CSD market share for a fourth time in 5 years" in 2026, indicating active competitive dynamics in the CSD space. KO will need to demonstrate continued value share gains to maintain its 20-quarter streak.</w:t>
      </w:r>
      <w:r>
        <w:rPr>
          <w:rFonts w:ascii="Calibri" w:hAnsi="Calibri"/>
          <w:color w:val="525866"/>
          <w:sz w:val="22"/>
        </w:rPr>
        <w:t xml:space="preserve"> (Source: KDP Deutsche Bank Conference Transcript, June 3, 2026)</w:t>
      </w:r>
    </w:p>
    <w:p>
      <w:pPr>
        <w:pStyle w:val="ListBullet"/>
        <w:ind w:left="360" w:hanging="360"/>
      </w:pPr>
      <w:r>
        <w:rPr>
          <w:rFonts w:ascii="Calibri" w:hAnsi="Calibri"/>
          <w:b/>
          <w:color w:val="525866"/>
          <w:sz w:val="22"/>
        </w:rPr>
        <w:t xml:space="preserve">FY2026 Guidance Reaffirmed (June 23): </w:t>
      </w:r>
      <w:r>
        <w:rPr>
          <w:rFonts w:ascii="Calibri" w:hAnsi="Calibri"/>
          <w:color w:val="525866"/>
          <w:sz w:val="22"/>
        </w:rPr>
        <w:t>KDP reaffirmed its 2026 guidance for net sales of $25.9–26.4B and low double-digit EPS growth via an 8-K filed June 23, 2026. The reaffirmation — made mid-Q2 — implies KDP's Q2 performance is tracking to plan, a positive signal for the broader U.S. beverage market.</w:t>
      </w:r>
      <w:r>
        <w:rPr>
          <w:rFonts w:ascii="Calibri" w:hAnsi="Calibri"/>
          <w:color w:val="525866"/>
          <w:sz w:val="22"/>
        </w:rPr>
        <w:t xml:space="preserve"> (Source: KDP 8-K, June 23, 2026)</w:t>
      </w:r>
    </w:p>
    <w:p>
      <w:pPr>
        <w:pStyle w:val="ListBullet"/>
        <w:ind w:left="360" w:hanging="360"/>
      </w:pPr>
      <w:r>
        <w:rPr>
          <w:rFonts w:ascii="Calibri" w:hAnsi="Calibri"/>
          <w:b/>
          <w:color w:val="525866"/>
          <w:sz w:val="22"/>
        </w:rPr>
        <w:t xml:space="preserve">Coffee Chief Departure Ahead of Spinoff: </w:t>
      </w:r>
      <w:r>
        <w:rPr>
          <w:rFonts w:ascii="Calibri" w:hAnsi="Calibri"/>
          <w:color w:val="525866"/>
          <w:sz w:val="22"/>
        </w:rPr>
        <w:t>KDP's Coffee Operating Unit head Rafa Oliveira announced his departure (effective end of July 2026) ahead of the planned separation of KDP's coffee and beverage businesses. This is a KDP-specific development with limited direct read-through to KO, but highlights ongoing M&amp;A/restructuring activity in the beverage sector.</w:t>
      </w:r>
      <w:r>
        <w:rPr>
          <w:rFonts w:ascii="Calibri" w:hAnsi="Calibri"/>
          <w:color w:val="525866"/>
          <w:sz w:val="22"/>
        </w:rPr>
        <w:t xml:space="preserve"> (Source: KDP 8-K, June 23, 2026)</w:t>
      </w:r>
    </w:p>
    <w:p>
      <w:pPr>
        <w:pStyle w:val="Heading3"/>
      </w:pPr>
      <w:r>
        <w:rPr>
          <w:rFonts w:ascii="Calibri" w:hAnsi="Calibri"/>
          <w:b/>
          <w:color w:val="3B4259"/>
          <w:sz w:val="24"/>
        </w:rPr>
        <w:t>Monster Beverage (MNST) — Deutsche Bank Conference (June 4, 2026)</w:t>
      </w:r>
    </w:p>
    <w:p>
      <w:r>
        <w:rPr>
          <w:rFonts w:ascii="Calibri" w:hAnsi="Calibri"/>
          <w:b/>
          <w:color w:val="525866"/>
          <w:sz w:val="22"/>
        </w:rPr>
        <w:t xml:space="preserve">Relevance: </w:t>
      </w:r>
      <w:r>
        <w:rPr>
          <w:rFonts w:ascii="Calibri" w:hAnsi="Calibri"/>
          <w:color w:val="525866"/>
          <w:sz w:val="22"/>
        </w:rPr>
        <w:t>Monster distributes through the Coca-Cola system globally. Its commentary on current-period distribution expansion and pricing directly reflects the health of the KO bottler network.</w:t>
      </w:r>
    </w:p>
    <w:p>
      <w:pPr>
        <w:pStyle w:val="ListBullet"/>
        <w:ind w:left="360" w:hanging="360"/>
      </w:pPr>
      <w:r>
        <w:rPr>
          <w:rFonts w:ascii="Calibri" w:hAnsi="Calibri"/>
          <w:b/>
          <w:color w:val="525866"/>
          <w:sz w:val="22"/>
        </w:rPr>
        <w:t xml:space="preserve">Active Q2 Distribution Expansion via KO System: </w:t>
      </w:r>
      <w:r>
        <w:rPr>
          <w:rFonts w:ascii="Calibri" w:hAnsi="Calibri"/>
          <w:color w:val="525866"/>
          <w:sz w:val="22"/>
        </w:rPr>
        <w:t>Monster noted that CCBJI (Coca-Cola's main Japan bottler) "just agreed" to place Monster products in their vending machines, and that Coca-Cola European Partners (CCEP) is "taking our existing Monster SKUs into more and more channels of distribution, especially away from home, food service" — described as happening "this week" (i.e., early June 2026). This signals active, current-period collaboration between Monster and the KO bottler network, a positive indicator of system health.</w:t>
      </w:r>
      <w:r>
        <w:rPr>
          <w:rFonts w:ascii="Calibri" w:hAnsi="Calibri"/>
          <w:color w:val="525866"/>
          <w:sz w:val="22"/>
        </w:rPr>
        <w:t xml:space="preserve"> (Source: Monster Beverage Deutsche Bank Conference Transcript, June 4, 2026)</w:t>
      </w:r>
    </w:p>
    <w:p>
      <w:pPr>
        <w:pStyle w:val="ListBullet"/>
        <w:ind w:left="360" w:hanging="360"/>
      </w:pPr>
      <w:r>
        <w:rPr>
          <w:rFonts w:ascii="Calibri" w:hAnsi="Calibri"/>
          <w:b/>
          <w:color w:val="525866"/>
          <w:sz w:val="22"/>
        </w:rPr>
        <w:t xml:space="preserve">Pakistan Launch via KO Distribution: </w:t>
      </w:r>
      <w:r>
        <w:rPr>
          <w:rFonts w:ascii="Calibri" w:hAnsi="Calibri"/>
          <w:color w:val="525866"/>
          <w:sz w:val="22"/>
        </w:rPr>
        <w:t>Monster launched in Pakistan "2 weeks ago" (i.e., late May 2026), opening a market of 250 million consumers via the Coca-Cola distribution system. New market entries via the KO system generate incremental concentrate revenue for KO.</w:t>
      </w:r>
      <w:r>
        <w:rPr>
          <w:rFonts w:ascii="Calibri" w:hAnsi="Calibri"/>
          <w:color w:val="525866"/>
          <w:sz w:val="22"/>
        </w:rPr>
        <w:t xml:space="preserve"> (Source: Monster Beverage Deutsche Bank Conference Transcript, June 4, 2026)</w:t>
      </w:r>
    </w:p>
    <w:p>
      <w:pPr>
        <w:pStyle w:val="ListBullet"/>
        <w:ind w:left="360" w:hanging="360"/>
      </w:pPr>
      <w:r>
        <w:rPr>
          <w:rFonts w:ascii="Calibri" w:hAnsi="Calibri"/>
          <w:b/>
          <w:color w:val="525866"/>
          <w:sz w:val="22"/>
        </w:rPr>
        <w:t xml:space="preserve">Pricing Offsetting Aluminum Cost Headwinds: </w:t>
      </w:r>
      <w:r>
        <w:rPr>
          <w:rFonts w:ascii="Calibri" w:hAnsi="Calibri"/>
          <w:color w:val="525866"/>
          <w:sz w:val="22"/>
        </w:rPr>
        <w:t>Monster noted that its November 2025 price increase "actually offset that increase in aluminum in the first quarter" and that aluminum cost impact "will continue to be modest" going forward due to hedging. This is a positive read-through for KO's own commodity cost management, particularly given KO's Q1 commentary about manageable but present aluminum/PET headwinds at the bottler level.</w:t>
      </w:r>
      <w:r>
        <w:rPr>
          <w:rFonts w:ascii="Calibri" w:hAnsi="Calibri"/>
          <w:color w:val="525866"/>
          <w:sz w:val="22"/>
        </w:rPr>
        <w:t xml:space="preserve"> (Source: Monster Beverage Deutsche Bank Conference Transcript, June 4, 2026)</w:t>
      </w:r>
    </w:p>
    <w:p>
      <w:pPr>
        <w:pStyle w:val="ListBullet"/>
        <w:ind w:left="360" w:hanging="360"/>
      </w:pPr>
      <w:r>
        <w:rPr>
          <w:rFonts w:ascii="Calibri" w:hAnsi="Calibri"/>
          <w:b/>
          <w:color w:val="525866"/>
          <w:sz w:val="22"/>
        </w:rPr>
        <w:t xml:space="preserve">Innovation Momentum in Q2: </w:t>
      </w:r>
      <w:r>
        <w:rPr>
          <w:rFonts w:ascii="Calibri" w:hAnsi="Calibri"/>
          <w:color w:val="525866"/>
          <w:sz w:val="22"/>
        </w:rPr>
        <w:t>Monster highlighted a "full calendar of innovation" for 2026, including the Red, White and Blue Ultra line ("screened right up near the top of the charts in Nielsen SKUs") and new flavor shots launched in Q2. Strong Monster innovation performance benefits KO's system economics and demonstrates the energy category's continued growth within the KO distribution network.</w:t>
      </w:r>
      <w:r>
        <w:rPr>
          <w:rFonts w:ascii="Calibri" w:hAnsi="Calibri"/>
          <w:color w:val="525866"/>
          <w:sz w:val="22"/>
        </w:rPr>
        <w:t xml:space="preserve"> (Source: Monster Beverage Deutsche Bank Conference Transcript, June 4, 2026)</w:t>
      </w:r>
    </w:p>
    <w:p>
      <w:pPr>
        <w:pStyle w:val="Heading3"/>
      </w:pPr>
      <w:r>
        <w:rPr>
          <w:rFonts w:ascii="Calibri" w:hAnsi="Calibri"/>
          <w:b/>
          <w:color w:val="3B4259"/>
          <w:sz w:val="24"/>
        </w:rPr>
        <w:t>Nestle — Q2 2026 Organic Growth Update (July 23, 2026)</w:t>
      </w:r>
    </w:p>
    <w:p>
      <w:r>
        <w:rPr>
          <w:rFonts w:ascii="Calibri" w:hAnsi="Calibri"/>
          <w:b/>
          <w:color w:val="525866"/>
          <w:sz w:val="22"/>
        </w:rPr>
        <w:t xml:space="preserve">Relevance: </w:t>
      </w:r>
      <w:r>
        <w:rPr>
          <w:rFonts w:ascii="Calibri" w:hAnsi="Calibri"/>
          <w:color w:val="525866"/>
          <w:sz w:val="22"/>
        </w:rPr>
        <w:t>Nestle is a global consumer staples peer with significant beverage exposure. Its Q2 2026 commentary provides a read on international consumer demand and margin dynamics.</w:t>
      </w:r>
    </w:p>
    <w:p>
      <w:pPr>
        <w:pStyle w:val="ListBullet"/>
        <w:ind w:left="360" w:hanging="360"/>
      </w:pPr>
      <w:r>
        <w:rPr>
          <w:rFonts w:ascii="Calibri" w:hAnsi="Calibri"/>
          <w:b/>
          <w:color w:val="525866"/>
          <w:sz w:val="22"/>
        </w:rPr>
        <w:t xml:space="preserve">Americas Underperformance — Cautionary Signal: </w:t>
      </w:r>
      <w:r>
        <w:rPr>
          <w:rFonts w:ascii="Calibri" w:hAnsi="Calibri"/>
          <w:color w:val="525866"/>
          <w:sz w:val="22"/>
        </w:rPr>
        <w:t>Nestle reported Q2 organic growth of +3.7% overall, but the Americas came in at +2.8% vs. Street expectations of +3.7%. Management also lowered H2 margin guidance to flat vs. prior forecast of improvement. This is a cautionary read-through for KO's Latin America segment, which has faced headwinds from Mexico sugar tax and geographic mix. However, KO's beverage portfolio has historically been more resilient than Nestle's food-heavy mix.</w:t>
      </w:r>
      <w:r>
        <w:rPr>
          <w:rFonts w:ascii="Calibri" w:hAnsi="Calibri"/>
          <w:color w:val="525866"/>
          <w:sz w:val="22"/>
        </w:rPr>
        <w:t xml:space="preserve"> (Source: Consumer Staples News Digest, July 23, 2026)</w:t>
      </w:r>
    </w:p>
    <w:p>
      <w:pPr>
        <w:pStyle w:val="ListBullet"/>
        <w:ind w:left="360" w:hanging="360"/>
      </w:pPr>
      <w:r>
        <w:rPr>
          <w:rFonts w:ascii="Calibri" w:hAnsi="Calibri"/>
          <w:b/>
          <w:color w:val="525866"/>
          <w:sz w:val="22"/>
        </w:rPr>
        <w:t xml:space="preserve">Waters Business Divestiture: </w:t>
      </w:r>
      <w:r>
        <w:rPr>
          <w:rFonts w:ascii="Calibri" w:hAnsi="Calibri"/>
          <w:color w:val="525866"/>
          <w:sz w:val="22"/>
        </w:rPr>
        <w:t>Nestle agreed to sell a 50% stake in its Waters and Beverages business to Platinum Equity for €3.4B. This is a sector-level development that may shift competitive dynamics in the premium water category, where KO competes with Topo Chico and Smartwater.</w:t>
      </w:r>
      <w:r>
        <w:rPr>
          <w:rFonts w:ascii="Calibri" w:hAnsi="Calibri"/>
          <w:color w:val="525866"/>
          <w:sz w:val="22"/>
        </w:rPr>
        <w:t xml:space="preserve"> (Source: WSJ, July 23, 2026)</w:t>
      </w:r>
    </w:p>
    <w:p>
      <w:pPr>
        <w:pStyle w:val="Heading3"/>
      </w:pPr>
      <w:r>
        <w:rPr>
          <w:rFonts w:ascii="Calibri" w:hAnsi="Calibri"/>
          <w:b/>
          <w:color w:val="3B4259"/>
          <w:sz w:val="24"/>
        </w:rPr>
        <w:t>Philip Morris International (PM) — Q2 2026 Earnings (Reported July 22, 2026)</w:t>
      </w:r>
    </w:p>
    <w:p>
      <w:r>
        <w:rPr>
          <w:rFonts w:ascii="Calibri" w:hAnsi="Calibri"/>
          <w:b/>
          <w:color w:val="525866"/>
          <w:sz w:val="22"/>
        </w:rPr>
        <w:t xml:space="preserve">Relevance: </w:t>
      </w:r>
      <w:r>
        <w:rPr>
          <w:rFonts w:ascii="Calibri" w:hAnsi="Calibri"/>
          <w:color w:val="525866"/>
          <w:sz w:val="22"/>
        </w:rPr>
        <w:t>PM is a global consumer staples company with significant international exposure. Its Q2 commentary on FX tailwinds and international demand is relevant to KO's international segment outlook.</w:t>
      </w:r>
    </w:p>
    <w:p>
      <w:pPr>
        <w:pStyle w:val="ListBullet"/>
        <w:ind w:left="360" w:hanging="360"/>
      </w:pPr>
      <w:r>
        <w:rPr>
          <w:rFonts w:ascii="Calibri" w:hAnsi="Calibri"/>
          <w:b/>
          <w:color w:val="525866"/>
          <w:sz w:val="22"/>
        </w:rPr>
        <w:t xml:space="preserve">FX Tailwind Confirmed for Q2: </w:t>
      </w:r>
      <w:r>
        <w:rPr>
          <w:rFonts w:ascii="Calibri" w:hAnsi="Calibri"/>
          <w:color w:val="525866"/>
          <w:sz w:val="22"/>
        </w:rPr>
        <w:t>PM reported Q2 EPS of $2.20 (beat vs. $2.04 consensus), with revenue growing +10% to $11.2B. The company noted a foreign exchange translation tailwind benefiting reported results. This is consistent with KO's own guidance for a ~+1 to +2 point FX tailwind to net revenues in FY2026, and suggests the FX environment remained favorable through Q2.</w:t>
      </w:r>
      <w:r>
        <w:rPr>
          <w:rFonts w:ascii="Calibri" w:hAnsi="Calibri"/>
          <w:color w:val="525866"/>
          <w:sz w:val="22"/>
        </w:rPr>
        <w:t xml:space="preserve"> (Source: PM Q2 2026 Earnings Release, July 22, 2026; Barron's, July 22, 2026)</w:t>
      </w:r>
    </w:p>
    <w:p>
      <w:pPr>
        <w:pStyle w:val="ListBullet"/>
        <w:ind w:left="360" w:hanging="360"/>
      </w:pPr>
      <w:r>
        <w:rPr>
          <w:rFonts w:ascii="Calibri" w:hAnsi="Calibri"/>
          <w:b/>
          <w:color w:val="525866"/>
          <w:sz w:val="22"/>
        </w:rPr>
        <w:t xml:space="preserve">Guidance Lowered — Cautionary on Forward Visibility: </w:t>
      </w:r>
      <w:r>
        <w:rPr>
          <w:rFonts w:ascii="Calibri" w:hAnsi="Calibri"/>
          <w:color w:val="525866"/>
          <w:sz w:val="22"/>
        </w:rPr>
        <w:t>Despite the Q2 beat, PM lowered its full-year profit guidance (adj. EPS $8.26–8.41 vs. prior $8.36–8.51) and issued Q3 guidance well below consensus ($2.20–2.25 vs. $2.42 Street). This signals that even strong Q2 results don't guarantee forward visibility — a reminder that KO's own guidance reaffirmation will be closely scrutinized.</w:t>
      </w:r>
      <w:r>
        <w:rPr>
          <w:rFonts w:ascii="Calibri" w:hAnsi="Calibri"/>
          <w:color w:val="525866"/>
          <w:sz w:val="22"/>
        </w:rPr>
        <w:t xml:space="preserve"> (Source: Barron's, July 22, 2026)</w:t>
      </w:r>
    </w:p>
    <w:p>
      <w:pPr>
        <w:pStyle w:val="Heading3"/>
      </w:pPr>
      <w:r>
        <w:rPr>
          <w:rFonts w:ascii="Calibri" w:hAnsi="Calibri"/>
          <w:b/>
          <w:color w:val="3B4259"/>
          <w:sz w:val="24"/>
        </w:rPr>
        <w:t>Lamb Weston (LW) — Fiscal Q4 2026 Earnings (Reported July 24, 2026)</w:t>
      </w:r>
    </w:p>
    <w:p>
      <w:r>
        <w:rPr>
          <w:rFonts w:ascii="Calibri" w:hAnsi="Calibri"/>
          <w:b/>
          <w:color w:val="525866"/>
          <w:sz w:val="22"/>
        </w:rPr>
        <w:t xml:space="preserve">Relevance: </w:t>
      </w:r>
      <w:r>
        <w:rPr>
          <w:rFonts w:ascii="Calibri" w:hAnsi="Calibri"/>
          <w:color w:val="525866"/>
          <w:sz w:val="22"/>
        </w:rPr>
        <w:t>LW is a major food service supplier to McDonald's and other QSR chains. Its commentary on restaurant traffic and consumer spending is a read-through for KO's away-from-home (fountain/foodservice) channel.</w:t>
      </w:r>
    </w:p>
    <w:p>
      <w:pPr>
        <w:pStyle w:val="ListBullet"/>
        <w:ind w:left="360" w:hanging="360"/>
      </w:pPr>
      <w:r>
        <w:rPr>
          <w:rFonts w:ascii="Calibri" w:hAnsi="Calibri"/>
          <w:b/>
          <w:color w:val="525866"/>
          <w:sz w:val="22"/>
        </w:rPr>
        <w:t xml:space="preserve">Diners Eating Out Less Frequently: </w:t>
      </w:r>
      <w:r>
        <w:rPr>
          <w:rFonts w:ascii="Calibri" w:hAnsi="Calibri"/>
          <w:color w:val="525866"/>
          <w:sz w:val="22"/>
        </w:rPr>
        <w:t>Lamb Weston reported that "diners are eating out less frequently and spending less when they do," prompting LW to offer price concessions to restaurant customers. This is a cautionary read-through for KO's away-from-home/fountain channel, which is a high-margin revenue stream. If QSR traffic continues to soften, KO's fountain volumes could face pressure in Q2 and beyond.</w:t>
      </w:r>
      <w:r>
        <w:rPr>
          <w:rFonts w:ascii="Calibri" w:hAnsi="Calibri"/>
          <w:color w:val="525866"/>
          <w:sz w:val="22"/>
        </w:rPr>
        <w:t xml:space="preserve"> (Source: WSJ, July 27, 2026)</w:t>
      </w:r>
    </w:p>
    <w:p>
      <w:pPr>
        <w:pStyle w:val="ListBullet"/>
        <w:ind w:left="360" w:hanging="360"/>
      </w:pPr>
      <w:r>
        <w:rPr>
          <w:rFonts w:ascii="Calibri" w:hAnsi="Calibri"/>
          <w:b/>
          <w:color w:val="525866"/>
          <w:sz w:val="22"/>
        </w:rPr>
        <w:t xml:space="preserve">North America Volume Growth Positive: </w:t>
      </w:r>
      <w:r>
        <w:rPr>
          <w:rFonts w:ascii="Calibri" w:hAnsi="Calibri"/>
          <w:color w:val="525866"/>
          <w:sz w:val="22"/>
        </w:rPr>
        <w:t>Despite the consumer softness narrative, LW reported that "volume growth in North America helped offset continued cost inflation and geopolitical volatility." Net sales climbed +5.6% to $1.77B, beating estimates. This suggests the QSR channel is not in freefall, and KO's fountain volumes may have held up reasonably well.</w:t>
      </w:r>
      <w:r>
        <w:rPr>
          <w:rFonts w:ascii="Calibri" w:hAnsi="Calibri"/>
          <w:color w:val="525866"/>
          <w:sz w:val="22"/>
        </w:rPr>
        <w:t xml:space="preserve"> (Source: WSJ, July 27,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Read-Through for KO</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PepsiCo (PEP)</w:t>
            </w:r>
          </w:p>
        </w:tc>
        <w:tc>
          <w:tcPr>
            <w:tcW w:type="dxa" w:w="2160"/>
          </w:tcPr>
          <w:p>
            <w:r>
              <w:rPr>
                <w:rFonts w:ascii="Calibri" w:hAnsi="Calibri"/>
                <w:sz w:val="22"/>
              </w:rPr>
              <w:t>Jul 9, 2026</w:t>
            </w:r>
          </w:p>
        </w:tc>
        <w:tc>
          <w:tcPr>
            <w:tcW w:type="dxa" w:w="2160"/>
          </w:tcPr>
          <w:p>
            <w:r>
              <w:rPr>
                <w:rFonts w:ascii="Calibri" w:hAnsi="Calibri"/>
                <w:sz w:val="22"/>
              </w:rPr>
              <w:t>International beverage franchise +9% organic; FY guidance affirmed; NA beverages soft (-2% vol) but KO portfolio mix differs</w:t>
            </w:r>
          </w:p>
        </w:tc>
        <w:tc>
          <w:tcPr>
            <w:tcW w:type="dxa" w:w="2160"/>
          </w:tcPr>
          <w:p>
            <w:r>
              <w:rPr>
                <w:rFonts w:ascii="Calibri" w:hAnsi="Calibri"/>
                <w:b/>
                <w:sz w:val="22"/>
              </w:rPr>
              <w:t>Mixed</w:t>
            </w:r>
          </w:p>
        </w:tc>
      </w:tr>
      <w:tr>
        <w:tc>
          <w:tcPr>
            <w:tcW w:type="dxa" w:w="2160"/>
          </w:tcPr>
          <w:p>
            <w:r>
              <w:rPr>
                <w:rFonts w:ascii="Calibri" w:hAnsi="Calibri"/>
                <w:sz w:val="22"/>
              </w:rPr>
              <w:t>Keurig Dr Pepper (KDP)</w:t>
            </w:r>
          </w:p>
        </w:tc>
        <w:tc>
          <w:tcPr>
            <w:tcW w:type="dxa" w:w="2160"/>
          </w:tcPr>
          <w:p>
            <w:r>
              <w:rPr>
                <w:rFonts w:ascii="Calibri" w:hAnsi="Calibri"/>
                <w:sz w:val="22"/>
              </w:rPr>
              <w:t>Jun 3 &amp; Jun 23, 2026</w:t>
            </w:r>
          </w:p>
        </w:tc>
        <w:tc>
          <w:tcPr>
            <w:tcW w:type="dxa" w:w="2160"/>
          </w:tcPr>
          <w:p>
            <w:r>
              <w:rPr>
                <w:rFonts w:ascii="Calibri" w:hAnsi="Calibri"/>
                <w:sz w:val="22"/>
              </w:rPr>
              <w:t>CSD category healthy; zero sugar growing double-digits; FY2026 guidance reaffirmed mid-Q2; private label penetration minimal</w:t>
            </w:r>
          </w:p>
        </w:tc>
        <w:tc>
          <w:tcPr>
            <w:tcW w:type="dxa" w:w="2160"/>
          </w:tcPr>
          <w:p>
            <w:r>
              <w:rPr>
                <w:rFonts w:ascii="Calibri" w:hAnsi="Calibri"/>
                <w:b/>
                <w:color w:val="30A46C"/>
                <w:sz w:val="22"/>
              </w:rPr>
              <w:t>Positive</w:t>
            </w:r>
          </w:p>
        </w:tc>
      </w:tr>
      <w:tr>
        <w:tc>
          <w:tcPr>
            <w:tcW w:type="dxa" w:w="2160"/>
          </w:tcPr>
          <w:p>
            <w:r>
              <w:rPr>
                <w:rFonts w:ascii="Calibri" w:hAnsi="Calibri"/>
                <w:sz w:val="22"/>
              </w:rPr>
              <w:t>Monster Beverage (MNST)</w:t>
            </w:r>
          </w:p>
        </w:tc>
        <w:tc>
          <w:tcPr>
            <w:tcW w:type="dxa" w:w="2160"/>
          </w:tcPr>
          <w:p>
            <w:r>
              <w:rPr>
                <w:rFonts w:ascii="Calibri" w:hAnsi="Calibri"/>
                <w:sz w:val="22"/>
              </w:rPr>
              <w:t>Jun 4, 2026</w:t>
            </w:r>
          </w:p>
        </w:tc>
        <w:tc>
          <w:tcPr>
            <w:tcW w:type="dxa" w:w="2160"/>
          </w:tcPr>
          <w:p>
            <w:r>
              <w:rPr>
                <w:rFonts w:ascii="Calibri" w:hAnsi="Calibri"/>
                <w:sz w:val="22"/>
              </w:rPr>
              <w:t>Active Q2 distribution expansion via KO system (Japan, EMEA, Pakistan); pricing offsetting aluminum costs; innovation momentum</w:t>
            </w:r>
          </w:p>
        </w:tc>
        <w:tc>
          <w:tcPr>
            <w:tcW w:type="dxa" w:w="2160"/>
          </w:tcPr>
          <w:p>
            <w:r>
              <w:rPr>
                <w:rFonts w:ascii="Calibri" w:hAnsi="Calibri"/>
                <w:b/>
                <w:color w:val="30A46C"/>
                <w:sz w:val="22"/>
              </w:rPr>
              <w:t>Positive</w:t>
            </w:r>
          </w:p>
        </w:tc>
      </w:tr>
      <w:tr>
        <w:tc>
          <w:tcPr>
            <w:tcW w:type="dxa" w:w="2160"/>
          </w:tcPr>
          <w:p>
            <w:r>
              <w:rPr>
                <w:rFonts w:ascii="Calibri" w:hAnsi="Calibri"/>
                <w:sz w:val="22"/>
              </w:rPr>
              <w:t>Nestle</w:t>
            </w:r>
          </w:p>
        </w:tc>
        <w:tc>
          <w:tcPr>
            <w:tcW w:type="dxa" w:w="2160"/>
          </w:tcPr>
          <w:p>
            <w:r>
              <w:rPr>
                <w:rFonts w:ascii="Calibri" w:hAnsi="Calibri"/>
                <w:sz w:val="22"/>
              </w:rPr>
              <w:t>Jul 23, 2026</w:t>
            </w:r>
          </w:p>
        </w:tc>
        <w:tc>
          <w:tcPr>
            <w:tcW w:type="dxa" w:w="2160"/>
          </w:tcPr>
          <w:p>
            <w:r>
              <w:rPr>
                <w:rFonts w:ascii="Calibri" w:hAnsi="Calibri"/>
                <w:sz w:val="22"/>
              </w:rPr>
              <w:t>Americas organic growth missed (+2.8% vs. +3.7% est.); H2 margin guidance lowered; cautionary for LatAm segment</w:t>
            </w:r>
          </w:p>
        </w:tc>
        <w:tc>
          <w:tcPr>
            <w:tcW w:type="dxa" w:w="2160"/>
          </w:tcPr>
          <w:p>
            <w:r>
              <w:rPr>
                <w:rFonts w:ascii="Calibri" w:hAnsi="Calibri"/>
                <w:b/>
                <w:color w:val="E5484D"/>
                <w:sz w:val="22"/>
              </w:rPr>
              <w:t>Cautionary</w:t>
            </w:r>
          </w:p>
        </w:tc>
      </w:tr>
      <w:tr>
        <w:tc>
          <w:tcPr>
            <w:tcW w:type="dxa" w:w="2160"/>
          </w:tcPr>
          <w:p>
            <w:r>
              <w:rPr>
                <w:rFonts w:ascii="Calibri" w:hAnsi="Calibri"/>
                <w:sz w:val="22"/>
              </w:rPr>
              <w:t>Philip Morris (PM)</w:t>
            </w:r>
          </w:p>
        </w:tc>
        <w:tc>
          <w:tcPr>
            <w:tcW w:type="dxa" w:w="2160"/>
          </w:tcPr>
          <w:p>
            <w:r>
              <w:rPr>
                <w:rFonts w:ascii="Calibri" w:hAnsi="Calibri"/>
                <w:sz w:val="22"/>
              </w:rPr>
              <w:t>Jul 22, 2026</w:t>
            </w:r>
          </w:p>
        </w:tc>
        <w:tc>
          <w:tcPr>
            <w:tcW w:type="dxa" w:w="2160"/>
          </w:tcPr>
          <w:p>
            <w:r>
              <w:rPr>
                <w:rFonts w:ascii="Calibri" w:hAnsi="Calibri"/>
                <w:sz w:val="22"/>
              </w:rPr>
              <w:t>FX tailwind confirmed for Q2; but guidance lowered despite beat — reminder that forward visibility is limited</w:t>
            </w:r>
          </w:p>
        </w:tc>
        <w:tc>
          <w:tcPr>
            <w:tcW w:type="dxa" w:w="2160"/>
          </w:tcPr>
          <w:p>
            <w:r>
              <w:rPr>
                <w:rFonts w:ascii="Calibri" w:hAnsi="Calibri"/>
                <w:b/>
                <w:sz w:val="22"/>
              </w:rPr>
              <w:t>Mixed</w:t>
            </w:r>
          </w:p>
        </w:tc>
      </w:tr>
      <w:tr>
        <w:tc>
          <w:tcPr>
            <w:tcW w:type="dxa" w:w="2160"/>
          </w:tcPr>
          <w:p>
            <w:r>
              <w:rPr>
                <w:rFonts w:ascii="Calibri" w:hAnsi="Calibri"/>
                <w:sz w:val="22"/>
              </w:rPr>
              <w:t>Lamb Weston (LW)</w:t>
            </w:r>
          </w:p>
        </w:tc>
        <w:tc>
          <w:tcPr>
            <w:tcW w:type="dxa" w:w="2160"/>
          </w:tcPr>
          <w:p>
            <w:r>
              <w:rPr>
                <w:rFonts w:ascii="Calibri" w:hAnsi="Calibri"/>
                <w:sz w:val="22"/>
              </w:rPr>
              <w:t>Jul 24–27, 2026</w:t>
            </w:r>
          </w:p>
        </w:tc>
        <w:tc>
          <w:tcPr>
            <w:tcW w:type="dxa" w:w="2160"/>
          </w:tcPr>
          <w:p>
            <w:r>
              <w:rPr>
                <w:rFonts w:ascii="Calibri" w:hAnsi="Calibri"/>
                <w:sz w:val="22"/>
              </w:rPr>
              <w:t>QSR diners eating out less frequently; cautionary for KO fountain/away-from-home channel; but NA volume still positive</w:t>
            </w:r>
          </w:p>
        </w:tc>
        <w:tc>
          <w:tcPr>
            <w:tcW w:type="dxa" w:w="2160"/>
          </w:tcPr>
          <w:p>
            <w:r>
              <w:rPr>
                <w:rFonts w:ascii="Calibri" w:hAnsi="Calibri"/>
                <w:b/>
                <w:color w:val="E5484D"/>
                <w:sz w:val="22"/>
              </w:rPr>
              <w:t>Cautionary</w:t>
            </w:r>
          </w:p>
        </w:tc>
      </w:tr>
    </w:tbl>
    <w:p>
      <w:r>
        <w:rPr>
          <w:rFonts w:ascii="Calibri" w:hAnsi="Calibri"/>
          <w:b/>
          <w:color w:val="525866"/>
          <w:sz w:val="22"/>
        </w:rPr>
        <w:t xml:space="preserve">Note: </w:t>
      </w:r>
      <w:r>
        <w:rPr>
          <w:rFonts w:ascii="Calibri" w:hAnsi="Calibri"/>
          <w:i/>
          <w:color w:val="525866"/>
          <w:sz w:val="22"/>
        </w:rPr>
        <w:t>All peer commentary included above is strictly from the last 60 days (May 27 – July 27, 2026) and pertains exclusively to Q2 2026 current-period conditions, forward outlook, or guidance for the current fiscal year. Retrospective commentary about prior-quarter results has been excluded.</w:t>
      </w:r>
    </w:p>
    <w:p>
      <w:r>
        <w:br w:type="page"/>
      </w:r>
    </w:p>
    <w:p>
      <w:pPr>
        <w:pStyle w:val="Heading2"/>
      </w:pPr>
      <w:r>
        <w:rPr>
          <w:rFonts w:ascii="Calibri" w:hAnsi="Calibri"/>
          <w:b/>
          <w:color w:val="3B4259"/>
          <w:sz w:val="28"/>
        </w:rPr>
        <w:t>Key Questions for the Q2 2026 Earnings Call</w:t>
      </w:r>
    </w:p>
    <w:p>
      <w:pPr>
        <w:pStyle w:val="ListNumber"/>
        <w:ind w:left="360" w:hanging="360"/>
      </w:pPr>
      <w:r>
        <w:rPr>
          <w:rFonts w:ascii="Calibri" w:hAnsi="Calibri"/>
          <w:b/>
          <w:color w:val="525866"/>
          <w:sz w:val="22"/>
        </w:rPr>
        <w:t xml:space="preserve">Fairlife Ransomware Impact: </w:t>
      </w:r>
      <w:r>
        <w:rPr>
          <w:rFonts w:ascii="Calibri" w:hAnsi="Calibri"/>
          <w:color w:val="525866"/>
          <w:sz w:val="22"/>
        </w:rPr>
        <w:t>What was the financial impact of the production suspension on Q2 revenue and volume? Is the Webster facility ramp on track? What is the expected recovery timeline, and are there any insurance recoveries?</w:t>
      </w:r>
    </w:p>
    <w:p>
      <w:pPr>
        <w:pStyle w:val="ListNumber"/>
        <w:ind w:left="360" w:hanging="360"/>
      </w:pPr>
      <w:r>
        <w:rPr>
          <w:rFonts w:ascii="Calibri" w:hAnsi="Calibri"/>
          <w:b/>
          <w:color w:val="525866"/>
          <w:sz w:val="22"/>
        </w:rPr>
        <w:t xml:space="preserve">North America Leadership Transition: </w:t>
      </w:r>
      <w:r>
        <w:rPr>
          <w:rFonts w:ascii="Calibri" w:hAnsi="Calibri"/>
          <w:color w:val="525866"/>
          <w:sz w:val="22"/>
        </w:rPr>
        <w:t>How is the search for a permanent North America President progressing? What is the plan to ensure continuity during the interim period, particularly given the FIFA World Cup marketing cycle?</w:t>
      </w:r>
    </w:p>
    <w:p>
      <w:pPr>
        <w:pStyle w:val="ListNumber"/>
        <w:ind w:left="360" w:hanging="360"/>
      </w:pPr>
      <w:r>
        <w:rPr>
          <w:rFonts w:ascii="Calibri" w:hAnsi="Calibri"/>
          <w:b/>
          <w:color w:val="525866"/>
          <w:sz w:val="22"/>
        </w:rPr>
        <w:t xml:space="preserve">Volume vs. Price/Mix Balance in Q2: </w:t>
      </w:r>
      <w:r>
        <w:rPr>
          <w:rFonts w:ascii="Calibri" w:hAnsi="Calibri"/>
          <w:color w:val="525866"/>
          <w:sz w:val="22"/>
        </w:rPr>
        <w:t>Management guided for concentrate shipments to lag unit cases by ~2 points in Q2. What was the actual volume/price-mix split, and is the balanced algorithm on track for the full year?</w:t>
      </w:r>
    </w:p>
    <w:p>
      <w:pPr>
        <w:pStyle w:val="ListNumber"/>
        <w:ind w:left="360" w:hanging="360"/>
      </w:pPr>
      <w:r>
        <w:rPr>
          <w:rFonts w:ascii="Calibri" w:hAnsi="Calibri"/>
          <w:b/>
          <w:color w:val="525866"/>
          <w:sz w:val="22"/>
        </w:rPr>
        <w:t xml:space="preserve">Gross Margin Trajectory: </w:t>
      </w:r>
      <w:r>
        <w:rPr>
          <w:rFonts w:ascii="Calibri" w:hAnsi="Calibri"/>
          <w:color w:val="525866"/>
          <w:sz w:val="22"/>
        </w:rPr>
        <w:t>Q1 gross margin declined ~30bps from commodity headwinds (tea, coffee) and inventory phasing. Did these headwinds persist into Q2, or did they normalize as management suggested?</w:t>
      </w:r>
    </w:p>
    <w:p>
      <w:pPr>
        <w:pStyle w:val="ListNumber"/>
        <w:ind w:left="360" w:hanging="360"/>
      </w:pPr>
      <w:r>
        <w:rPr>
          <w:rFonts w:ascii="Calibri" w:hAnsi="Calibri"/>
          <w:b/>
          <w:color w:val="525866"/>
          <w:sz w:val="22"/>
        </w:rPr>
        <w:t xml:space="preserve">CCBA Sale Timeline: </w:t>
      </w:r>
      <w:r>
        <w:rPr>
          <w:rFonts w:ascii="Calibri" w:hAnsi="Calibri"/>
          <w:color w:val="525866"/>
          <w:sz w:val="22"/>
        </w:rPr>
        <w:t>Is the Coca-Cola Beverages Africa sale still on track to close in H2 2026? Any regulatory updates? This is the key driver of the guided H2 margin expansion.</w:t>
      </w:r>
    </w:p>
    <w:p>
      <w:pPr>
        <w:pStyle w:val="ListNumber"/>
        <w:ind w:left="360" w:hanging="360"/>
      </w:pPr>
      <w:r>
        <w:rPr>
          <w:rFonts w:ascii="Calibri" w:hAnsi="Calibri"/>
          <w:b/>
          <w:color w:val="525866"/>
          <w:sz w:val="22"/>
        </w:rPr>
        <w:t xml:space="preserve">Middle East Conflict Impact: </w:t>
      </w:r>
      <w:r>
        <w:rPr>
          <w:rFonts w:ascii="Calibri" w:hAnsi="Calibri"/>
          <w:color w:val="525866"/>
          <w:sz w:val="22"/>
        </w:rPr>
        <w:t>How did the ongoing conflict affect EMEA volumes and supply chains (particularly aluminum cans) in Q2? Is the situation stabilizing or deteriorating?</w:t>
      </w:r>
    </w:p>
    <w:p>
      <w:pPr>
        <w:pStyle w:val="ListNumber"/>
        <w:ind w:left="360" w:hanging="360"/>
      </w:pPr>
      <w:r>
        <w:rPr>
          <w:rFonts w:ascii="Calibri" w:hAnsi="Calibri"/>
          <w:b/>
          <w:color w:val="525866"/>
          <w:sz w:val="22"/>
        </w:rPr>
        <w:t xml:space="preserve">FY2026 Guidance: </w:t>
      </w:r>
      <w:r>
        <w:rPr>
          <w:rFonts w:ascii="Calibri" w:hAnsi="Calibri"/>
          <w:color w:val="525866"/>
          <w:sz w:val="22"/>
        </w:rPr>
        <w:t>Will management raise, maintain, or lower organic revenue and EPS guidance? Given the Fairlife disruption and North America leadership change, any guidance raise would be a significant positive surprise.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