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~$4.92 vs. cons $4.79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~$3.78B vs. cons $3.72B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Diagnostics 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~+5.5% vs. cons ~+4.5%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17.90</m:t>
              </m:r>
              <m:r>
                <m:rPr>
                  <m:sty m:val="p"/>
                </m:rPr>
                <m:t>−</m:t>
              </m:r>
            </m:oMath>
            <w:r>
              <w:t xml:space="preserve">18.55 (mid ~</w:t>
            </w:r>
            <m:oMath>
              <m:r>
                <m:t>18.23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14.75</m:t>
              </m:r>
              <m:r>
                <m:rPr>
                  <m:sty m:val="p"/>
                </m:rPr>
                <m:t>−</m:t>
              </m:r>
            </m:oMath>
            <w:r>
              <w:t xml:space="preserve">14.95B (mid ~</w:t>
            </w:r>
            <m:oMath>
              <m:r>
                <m:t>14.85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BLS book-to-bill inflection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~1.02 vs. 0.94 prior quarter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1.24</m:t>
              </m:r>
              <m:r>
                <m:rPr>
                  <m:sty m:val="p"/>
                </m:rPr>
                <m:t>−</m:t>
              </m:r>
            </m:oMath>
            <w:r>
              <w:t xml:space="preserve">1.36B vs. cons ~$1.30B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LH ripped ~13% in two weeks (and ~+45% off June lows) almost entirely on Quest read-through, so a beat-and-raise is largely priced; realized beta to SPX is ~0 (idiosyncratic move), meaning residual ≈ raw. Even with a clean beat, guide raise quality is modest (Q1 flow-through + FX) and the 2027 PAMA/RESULTS/CRUSH/ACA-subsidy overhang caps upward out-period revisions ahead of the Sept 10 Investor Day. Crowded long unwinds into a 'sell-the-news' — initial day-1 drop extends as estimates stabilize rather than ratchet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2026-07-29T18:33:09Z</dcterms:created>
  <dcterms:modified xsi:type="dcterms:W3CDTF">2026-07-29T18:33:09Z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