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labcorp-lh--q2-2026-earnings-preview"/>
    <w:p>
      <w:pPr>
        <w:pStyle w:val="Heading1"/>
      </w:pPr>
      <w:r>
        <w:t xml:space="preserve">Labcorp (LH) — Q2 2026 Earnings Preview</w:t>
      </w:r>
    </w:p>
    <w:bookmarkStart w:id="9" w:name="Xdf47e255939ddd6640ae332dbcc9ecc0c2e2c8a"/>
    <w:p>
      <w:pPr>
        <w:pStyle w:val="Heading3"/>
      </w:pPr>
      <w:r>
        <w:t xml:space="preserve">Reports Thursday, July 30, 2026 (before market open; call 9:00 a.m. ET)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r"/>
    <w:p>
      <w:pPr>
        <w:pStyle w:val="Heading2"/>
      </w:pPr>
      <w:r>
        <w:t xml:space="preserve">The One-Liner</w:t>
      </w:r>
    </w:p>
    <w:p>
      <w:pPr>
        <w:pStyle w:val="FirstParagraph"/>
      </w:pPr>
      <w:r>
        <w:t xml:space="preserve">Labcorp reports into a</w:t>
      </w:r>
      <w:r>
        <w:t xml:space="preserve"> </w:t>
      </w:r>
      <w:r>
        <w:rPr>
          <w:b/>
          <w:bCs/>
        </w:rPr>
        <w:t xml:space="preserve">red-hot setup</w:t>
      </w:r>
      <w:r>
        <w:t xml:space="preserve">: the stock has ripped ~15% higher over the past two weeks, largely on the back of Quest Diagnostics' blowout Q2, and the bar going in is now high. The debate isn't whether LH grows — it's whether a solid quarter and a likely guidance raise are already priced in, and how management frames a thickening stack of 2027 policy risks (PAMA/RESULTS Act, CRUSH, ACA/Medicare subsidy expirations) ahead of its September 10 Investor Day.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~$3.72B</w:t>
            </w:r>
          </w:p>
        </w:tc>
        <w:tc>
          <w:tcPr/>
          <w:p>
            <w:pPr>
              <w:pStyle w:val="Compact"/>
            </w:pPr>
            <w:r>
              <w:t xml:space="preserve">$3.53B</w:t>
            </w:r>
          </w:p>
        </w:tc>
        <w:tc>
          <w:tcPr/>
          <w:p>
            <w:pPr>
              <w:pStyle w:val="Compact"/>
            </w:pPr>
            <w:r>
              <w:t xml:space="preserve">+5.4%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~$4.79</w:t>
            </w:r>
          </w:p>
        </w:tc>
        <w:tc>
          <w:tcPr/>
          <w:p>
            <w:pPr>
              <w:pStyle w:val="Compact"/>
            </w:pPr>
            <w:r>
              <w:t xml:space="preserve">$4.35</w:t>
            </w:r>
          </w:p>
        </w:tc>
        <w:tc>
          <w:tcPr/>
          <w:p>
            <w:pPr>
              <w:pStyle w:val="Compact"/>
            </w:pPr>
            <w:r>
              <w:t xml:space="preserve">+10.1%</w:t>
            </w:r>
          </w:p>
        </w:tc>
      </w:tr>
    </w:tbl>
    <w:p>
      <w:pPr>
        <w:pStyle w:val="BodyText"/>
      </w:pPr>
      <w:r>
        <w:t xml:space="preserve">The ~10% adjusted EPS growth expectation is consistent with the full-year algorithm management laid out —</w:t>
      </w:r>
      <w:r>
        <w:t xml:space="preserve"> </w:t>
      </w:r>
      <w:r>
        <w:rPr>
          <w:b/>
          <w:bCs/>
        </w:rPr>
        <w:t xml:space="preserve">double-digit EPS growth at the midpoint</w:t>
      </w:r>
      <w:r>
        <w:t xml:space="preserve">, driven by organic revenue growth plus margin expansion in both segments.</w:t>
      </w:r>
    </w:p>
    <w:p>
      <w:pPr>
        <w:pStyle w:val="BodyText"/>
      </w:pPr>
      <w:r>
        <w:rPr>
          <w:b/>
          <w:bCs/>
        </w:rPr>
        <w:t xml:space="preserve">Full-year 2026 guidance (raised at Q1):</w:t>
      </w:r>
    </w:p>
    <w:p>
      <w:pPr>
        <w:pStyle w:val="Compact"/>
        <w:numPr>
          <w:ilvl w:val="0"/>
          <w:numId w:val="1001"/>
        </w:numPr>
      </w:pPr>
      <w:r>
        <w:t xml:space="preserve">Enterprise revenue:</w:t>
      </w:r>
      <w:r>
        <w:t xml:space="preserve"> </w:t>
      </w:r>
      <m:oMath>
        <m:r>
          <m:t>14.65</m:t>
        </m:r>
        <m:r>
          <m:rPr>
            <m:sty m:val="p"/>
          </m:rPr>
          <m:t>–</m:t>
        </m:r>
      </m:oMath>
      <w:r>
        <w:rPr>
          <w:b/>
          <w:bCs/>
        </w:rPr>
        <w:t xml:space="preserve">14.80B</w:t>
      </w:r>
      <w:r>
        <w:t xml:space="preserve"> </w:t>
      </w:r>
      <w:r>
        <w:t xml:space="preserve">(+5.0% to +6.1%)</w:t>
      </w:r>
    </w:p>
    <w:p>
      <w:pPr>
        <w:pStyle w:val="Compact"/>
        <w:numPr>
          <w:ilvl w:val="0"/>
          <w:numId w:val="1001"/>
        </w:numPr>
      </w:pPr>
      <w:r>
        <w:t xml:space="preserve">Diagnostics:</w:t>
      </w:r>
      <w:r>
        <w:t xml:space="preserve"> </w:t>
      </w:r>
      <m:oMath>
        <m:r>
          <m:t>11.43</m:t>
        </m:r>
        <m:r>
          <m:rPr>
            <m:sty m:val="p"/>
          </m:rPr>
          <m:t>–</m:t>
        </m:r>
      </m:oMath>
      <w:r>
        <w:rPr>
          <w:b/>
          <w:bCs/>
        </w:rPr>
        <w:t xml:space="preserve">11.52B</w:t>
      </w:r>
      <w:r>
        <w:t xml:space="preserve"> </w:t>
      </w:r>
      <w:r>
        <w:t xml:space="preserve">(+5.1% to +5.9%)</w:t>
      </w:r>
    </w:p>
    <w:p>
      <w:pPr>
        <w:pStyle w:val="Compact"/>
        <w:numPr>
          <w:ilvl w:val="0"/>
          <w:numId w:val="1001"/>
        </w:numPr>
      </w:pPr>
      <w:r>
        <w:t xml:space="preserve">Biopharma Laboratory Services (BLS):</w:t>
      </w:r>
      <w:r>
        <w:t xml:space="preserve"> </w:t>
      </w:r>
      <m:oMath>
        <m:r>
          <m:t>3.22</m:t>
        </m:r>
        <m:r>
          <m:rPr>
            <m:sty m:val="p"/>
          </m:rPr>
          <m:t>–</m:t>
        </m:r>
      </m:oMath>
      <w:r>
        <w:rPr>
          <w:b/>
          <w:bCs/>
        </w:rPr>
        <w:t xml:space="preserve">3.27B</w:t>
      </w:r>
      <w:r>
        <w:t xml:space="preserve"> </w:t>
      </w:r>
      <w:r>
        <w:t xml:space="preserve">(+3.8% to +5.4%)</w:t>
      </w:r>
    </w:p>
    <w:p>
      <w:pPr>
        <w:pStyle w:val="Compact"/>
        <w:numPr>
          <w:ilvl w:val="0"/>
          <w:numId w:val="1001"/>
        </w:numPr>
      </w:pPr>
      <w:r>
        <w:t xml:space="preserve">Adjusted EPS:</w:t>
      </w:r>
      <w:r>
        <w:t xml:space="preserve"> </w:t>
      </w:r>
      <m:oMath>
        <m:r>
          <m:t>17.70</m:t>
        </m:r>
        <m:r>
          <m:rPr>
            <m:sty m:val="p"/>
          </m:rPr>
          <m:t>–</m:t>
        </m:r>
      </m:oMath>
      <w:r>
        <w:rPr>
          <w:b/>
          <w:bCs/>
        </w:rPr>
        <w:t xml:space="preserve">18.35</w:t>
      </w:r>
      <w:r>
        <w:t xml:space="preserve"> </w:t>
      </w:r>
      <w:r>
        <w:t xml:space="preserve">(midpoint $18.03, ~10% growth)</w:t>
      </w:r>
    </w:p>
    <w:p>
      <w:pPr>
        <w:pStyle w:val="Compact"/>
        <w:numPr>
          <w:ilvl w:val="0"/>
          <w:numId w:val="1001"/>
        </w:numPr>
      </w:pPr>
      <w:r>
        <w:t xml:space="preserve">Free cash flow:</w:t>
      </w:r>
      <w:r>
        <w:t xml:space="preserve"> </w:t>
      </w:r>
      <m:oMath>
        <m:r>
          <m:t>1.24</m:t>
        </m:r>
        <m:r>
          <m:rPr>
            <m:sty m:val="p"/>
          </m:rPr>
          <m:t>–</m:t>
        </m:r>
      </m:oMath>
      <w:r>
        <w:rPr>
          <w:b/>
          <w:bCs/>
        </w:rPr>
        <w:t xml:space="preserve">1.36B</w:t>
      </w:r>
    </w:p>
    <w:p>
      <w:pPr>
        <w:pStyle w:val="FirstParagraph"/>
      </w:pPr>
      <w:r>
        <w:t xml:space="preserve">With Q1 adjusted EPS of $4.25 in the bank, roughly</w:t>
      </w:r>
      <w:r>
        <w:t xml:space="preserve"> </w:t>
      </w:r>
      <m:oMath>
        <m:r>
          <m:t>13.78</m:t>
        </m:r>
        <m:r>
          <m:t>o</m:t>
        </m:r>
        <m:r>
          <m:t>f</m:t>
        </m:r>
        <m:r>
          <m:t>E</m:t>
        </m:r>
        <m:r>
          <m:t>P</m:t>
        </m:r>
        <m:r>
          <m:t>S</m:t>
        </m:r>
        <m:r>
          <m:t>i</m:t>
        </m:r>
        <m:r>
          <m:t>s</m:t>
        </m:r>
        <m:r>
          <m:t>l</m:t>
        </m:r>
        <m:r>
          <m:t>e</m:t>
        </m:r>
        <m:r>
          <m:t>f</m:t>
        </m:r>
        <m:r>
          <m:t>t</m:t>
        </m:r>
        <m:r>
          <m:t>a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t>Q</m:t>
        </m:r>
        <m:r>
          <m:t>2</m:t>
        </m:r>
        <m:r>
          <m:rPr>
            <m:sty m:val="p"/>
          </m:rPr>
          <m:t>–</m:t>
        </m:r>
        <m:r>
          <m:t>Q</m:t>
        </m:r>
        <m:r>
          <m:t>4</m:t>
        </m:r>
        <m:r>
          <m:rPr>
            <m:sty m:val="p"/>
          </m:rPr>
          <m:t>;</m:t>
        </m:r>
        <m:r>
          <m:t>a</m:t>
        </m:r>
        <m:r>
          <m:t> </m:t>
        </m:r>
      </m:oMath>
      <w:r>
        <w:t xml:space="preserve">4.79 Q2 keeps LH comfortably on the full-year glidepath.</w:t>
      </w:r>
    </w:p>
    <w:p>
      <w:r>
        <w:pict>
          <v:rect style="width:0;height:1.5pt" o:hralign="center" o:hrstd="t" o:hr="t"/>
        </w:pict>
      </w:r>
    </w:p>
    <w:bookmarkEnd w:id="11"/>
    <w:bookmarkStart w:id="12" w:name="the-setup-why-the-stock-is-where-it-is"/>
    <w:p>
      <w:pPr>
        <w:pStyle w:val="Heading2"/>
      </w:pPr>
      <w:r>
        <w:t xml:space="preserve">The Setup: Why the Stock Is Where It Is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Sharp pre-earnings rally.</w:t>
      </w:r>
      <w:r>
        <w:t xml:space="preserve"> </w:t>
      </w:r>
      <w:r>
        <w:t xml:space="preserve">LH climbed from the ~</w:t>
      </w:r>
      <m:oMath>
        <m:r>
          <m:t>272</m:t>
        </m:r>
        <m:r>
          <m:t>a</m:t>
        </m:r>
        <m:r>
          <m:t>r</m:t>
        </m:r>
        <m:r>
          <m:t>e</m:t>
        </m:r>
        <m:r>
          <m:t>a</m:t>
        </m:r>
        <m:r>
          <m:t>i</m:t>
        </m:r>
        <m:r>
          <m:t>n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J</m:t>
        </m:r>
        <m:r>
          <m:t>u</m:t>
        </m:r>
        <m:r>
          <m:t>l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310 by July 29, with shares up ~12% over the trailing month. The single biggest catalyst was sector read-through, not company-specific news.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Quest set a high bar.</w:t>
      </w:r>
      <w:r>
        <w:t xml:space="preserve"> </w:t>
      </w:r>
      <w:r>
        <w:t xml:space="preserve">On July 23, Quest Diagnostics (DGX) reported Q2 EPS of</w:t>
      </w:r>
      <w:r>
        <w:t xml:space="preserve"> </w:t>
      </w:r>
      <m:oMath>
        <m:r>
          <m:t>3.12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rPr>
          <w:b/>
          <w:bCs/>
        </w:rPr>
        <w:t xml:space="preserve">2.83 consensus</w:t>
      </w:r>
      <w:r>
        <w:t xml:space="preserve"> </w:t>
      </w:r>
      <w:r>
        <w:t xml:space="preserve">on revenue of</w:t>
      </w:r>
      <w:r>
        <w:t xml:space="preserve"> </w:t>
      </w:r>
      <w:r>
        <w:rPr>
          <w:b/>
          <w:bCs/>
        </w:rPr>
        <w:t xml:space="preserve">$3.04B</w:t>
      </w:r>
      <w:r>
        <w:t xml:space="preserve">, with sales up over 10% on broad organic strength across physician, hospital and consumer channels — and it</w:t>
      </w:r>
      <w:r>
        <w:t xml:space="preserve"> </w:t>
      </w:r>
      <w:r>
        <w:rPr>
          <w:b/>
          <w:bCs/>
        </w:rPr>
        <w:t xml:space="preserve">raised</w:t>
      </w:r>
      <w:r>
        <w:t xml:space="preserve"> </w:t>
      </w:r>
      <w:r>
        <w:t xml:space="preserve">full-year EPS guidance to</w:t>
      </w:r>
      <w:r>
        <w:t xml:space="preserve"> </w:t>
      </w:r>
      <m:oMath>
        <m:r>
          <m:t>11.05</m:t>
        </m:r>
        <m:r>
          <m:rPr>
            <m:sty m:val="p"/>
          </m:rPr>
          <m:t>–</m:t>
        </m:r>
      </m:oMath>
      <w:r>
        <w:t xml:space="preserve">11.25. DGX shares jumped, dragging LH up with them. This is a double-edged sword: a positive demand read-through, but it resets expectations higher and raises the chance a merely in-line LH print disappoints.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Valuation.</w:t>
      </w:r>
      <w:r>
        <w:t xml:space="preserve"> </w:t>
      </w:r>
      <w:r>
        <w:t xml:space="preserve">At ~</w:t>
      </w:r>
      <m:oMath>
        <m:r>
          <m:t>310</m:t>
        </m:r>
        <m:r>
          <m:t>a</m:t>
        </m:r>
        <m:r>
          <m:t>g</m:t>
        </m:r>
        <m:r>
          <m:t>a</m:t>
        </m:r>
        <m:r>
          <m:t>i</m:t>
        </m:r>
        <m:r>
          <m:t>n</m:t>
        </m:r>
        <m:r>
          <m:t>s</m:t>
        </m:r>
        <m:r>
          <m:t>t</m:t>
        </m:r>
        <m:r>
          <m:t> </m:t>
        </m:r>
      </m:oMath>
      <w:r>
        <w:t xml:space="preserve">18 of FY26 EPS, LH trades near ~17x forward earnings — reasonable historically, but the stock is pushing toward the top of its recent range, leaving less margin for error.</w:t>
      </w:r>
    </w:p>
    <w:p>
      <w:r>
        <w:pict>
          <v:rect style="width:0;height:1.5pt" o:hralign="center" o:hrstd="t" o:hr="t"/>
        </w:pict>
      </w:r>
    </w:p>
    <w:bookmarkEnd w:id="12"/>
    <w:bookmarkStart w:id="18" w:name="what-to-watch-in-the-print"/>
    <w:p>
      <w:pPr>
        <w:pStyle w:val="Heading2"/>
      </w:pPr>
      <w:r>
        <w:t xml:space="preserve">What to Watch in the Print</w:t>
      </w:r>
    </w:p>
    <w:bookmarkStart w:id="13" w:name="X151a96cccfcadc868aa62e79c483ce14e41699a"/>
    <w:p>
      <w:pPr>
        <w:pStyle w:val="Heading3"/>
      </w:pPr>
      <w:r>
        <w:t xml:space="preserve">1) Diagnostics volume — weather rebound and underlying share gains</w:t>
      </w:r>
    </w:p>
    <w:p>
      <w:pPr>
        <w:pStyle w:val="FirstParagraph"/>
      </w:pPr>
      <w:r>
        <w:t xml:space="preserve">Q1 organic volume growth of just ~1.1% was depressed by an estimated</w:t>
      </w:r>
      <w:r>
        <w:t xml:space="preserve"> </w:t>
      </w:r>
      <w:r>
        <w:rPr>
          <w:b/>
          <w:bCs/>
        </w:rPr>
        <w:t xml:space="preserve">$15M weather drag</w:t>
      </w:r>
      <w:r>
        <w:t xml:space="preserve">; management said "clean" organic volume would have been closer to 2%. Watch for:</w:t>
      </w:r>
    </w:p>
    <w:p>
      <w:pPr>
        <w:pStyle w:val="Compact"/>
        <w:numPr>
          <w:ilvl w:val="0"/>
          <w:numId w:val="1003"/>
        </w:numPr>
      </w:pPr>
      <w:r>
        <w:t xml:space="preserve">A sequential volume recovery and whether any Q1 service-center appointments were recaptured (management noted ~20–25% of volume flows through owned service centers where patients are recoverable; the 70–75% through physician offices is harder to recapture).</w:t>
      </w:r>
    </w:p>
    <w:p>
      <w:pPr>
        <w:pStyle w:val="Compact"/>
        <w:numPr>
          <w:ilvl w:val="0"/>
          <w:numId w:val="1003"/>
        </w:numPr>
      </w:pPr>
      <w:r>
        <w:t xml:space="preserve">Continued favorable</w:t>
      </w:r>
      <w:r>
        <w:t xml:space="preserve"> </w:t>
      </w:r>
      <w:r>
        <w:rPr>
          <w:b/>
          <w:bCs/>
        </w:rPr>
        <w:t xml:space="preserve">price/mix</w:t>
      </w:r>
      <w:r>
        <w:t xml:space="preserve"> </w:t>
      </w:r>
      <w:r>
        <w:t xml:space="preserve">(+2.6% total, +1.8% organic in Q1) driven by richer specialty test mix.</w:t>
      </w:r>
    </w:p>
    <w:p>
      <w:pPr>
        <w:pStyle w:val="Compact"/>
        <w:numPr>
          <w:ilvl w:val="0"/>
          <w:numId w:val="1003"/>
        </w:numPr>
      </w:pPr>
      <w:r>
        <w:t xml:space="preserve">Given Quest's strong volume commentary, a soft LH volume number would stand out negatively.</w:t>
      </w:r>
    </w:p>
    <w:bookmarkEnd w:id="13"/>
    <w:bookmarkStart w:id="14" w:name="Xd589ef1721ae2a1425484718681bfef9690bb51"/>
    <w:p>
      <w:pPr>
        <w:pStyle w:val="Heading3"/>
      </w:pPr>
      <w:r>
        <w:t xml:space="preserve">2) Specialty testing momentum</w:t>
      </w:r>
    </w:p>
    <w:p>
      <w:pPr>
        <w:pStyle w:val="FirstParagraph"/>
      </w:pPr>
      <w:r>
        <w:t xml:space="preserve">This is the growth engine LH wants investors to underwrite (targeting 2–3x market growth). Key areas: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Neurology / Alzheimer's</w:t>
      </w:r>
      <w:r>
        <w:t xml:space="preserve"> </w:t>
      </w:r>
      <w:r>
        <w:t xml:space="preserve">— double-digit growth; management hinted it may eventually break out Alzheimer's as a standalone line.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Oncology</w:t>
      </w:r>
      <w:r>
        <w:t xml:space="preserve"> </w:t>
      </w:r>
      <w:r>
        <w:t xml:space="preserve">— double-digit growth on new liquid biopsy and MRD launches; reimbursement still "not where we'd like it," so watch for pricing/coverage updates. Note the "halo effect": winning specialty accounts pulls through routine testing.</w:t>
      </w:r>
    </w:p>
    <w:p>
      <w:pPr>
        <w:pStyle w:val="Compact"/>
        <w:numPr>
          <w:ilvl w:val="0"/>
          <w:numId w:val="1004"/>
        </w:numPr>
      </w:pPr>
      <w:r>
        <w:t xml:space="preserve">Women's health and autoimmune round out the four focus areas.</w:t>
      </w:r>
    </w:p>
    <w:bookmarkEnd w:id="14"/>
    <w:bookmarkStart w:id="15" w:name="X062da3c8661038eb5c81ff7ddeef26013e383fc"/>
    <w:p>
      <w:pPr>
        <w:pStyle w:val="Heading3"/>
      </w:pPr>
      <w:r>
        <w:t xml:space="preserve">3) BLS / book-to-bill inflection</w:t>
      </w:r>
    </w:p>
    <w:p>
      <w:pPr>
        <w:pStyle w:val="Compact"/>
        <w:numPr>
          <w:ilvl w:val="0"/>
          <w:numId w:val="1005"/>
        </w:numPr>
      </w:pPr>
      <w:r>
        <w:t xml:space="preserve">Management</w:t>
      </w:r>
      <w:r>
        <w:t xml:space="preserve"> </w:t>
      </w:r>
      <w:r>
        <w:rPr>
          <w:b/>
          <w:bCs/>
        </w:rPr>
        <w:t xml:space="preserve">guided to a sequential improvement</w:t>
      </w:r>
      <w:r>
        <w:t xml:space="preserve"> </w:t>
      </w:r>
      <w:r>
        <w:t xml:space="preserve">in quarterly book-to-bill in Q2 (Q1 was a soft 0.94, which they attributed to timing; TTM was a healthier 1.04). A print back above 1.0 would reassure after the Q1 wobble. For reference, Q2 2025 TTM book-to-bill was 1.11.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Central Labs</w:t>
      </w:r>
      <w:r>
        <w:t xml:space="preserve"> </w:t>
      </w:r>
      <w:r>
        <w:t xml:space="preserve">is the growth/margin driver (+11% reported, +5% constant-currency in Q1); watch the organic constant-currency rate.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Early Development</w:t>
      </w:r>
      <w:r>
        <w:t xml:space="preserve"> </w:t>
      </w:r>
      <w:r>
        <w:t xml:space="preserve">strategic restructuring was slated to be</w:t>
      </w:r>
      <w:r>
        <w:t xml:space="preserve"> </w:t>
      </w:r>
      <w:r>
        <w:rPr>
          <w:b/>
          <w:bCs/>
        </w:rPr>
        <w:t xml:space="preserve">"largely complete by the end of Q2"</w:t>
      </w:r>
      <w:r>
        <w:t xml:space="preserve"> </w:t>
      </w:r>
      <w:r>
        <w:t xml:space="preserve">— look for confirmation and the margin/efficiency benefit.</w:t>
      </w:r>
    </w:p>
    <w:p>
      <w:pPr>
        <w:pStyle w:val="Compact"/>
        <w:numPr>
          <w:ilvl w:val="0"/>
          <w:numId w:val="1005"/>
        </w:numPr>
      </w:pPr>
      <w:r>
        <w:t xml:space="preserve">FX has been a meaningful BLS tailwind (~5.5% in Q1); strip it out to judge the underlying trend.</w:t>
      </w:r>
    </w:p>
    <w:bookmarkEnd w:id="15"/>
    <w:bookmarkStart w:id="16" w:name="X56070b806f3024b224081a8faebaf9f9f8ae300"/>
    <w:p>
      <w:pPr>
        <w:pStyle w:val="Heading3"/>
      </w:pPr>
      <w:r>
        <w:t xml:space="preserve">4) Margins and LaunchPad</w:t>
      </w:r>
    </w:p>
    <w:p>
      <w:pPr>
        <w:pStyle w:val="FirstParagraph"/>
      </w:pPr>
      <w:r>
        <w:t xml:space="preserve">Q1 delivered +30 bps enterprise margin (Dx 16.6%, BLS 15.5%). Management expects margin expansion in both segments for the full year, with</w:t>
      </w:r>
      <w:r>
        <w:t xml:space="preserve"> </w:t>
      </w:r>
      <w:r>
        <w:rPr>
          <w:b/>
          <w:bCs/>
        </w:rPr>
        <w:t xml:space="preserve">BLS expanding more than Diagnostics</w:t>
      </w:r>
      <w:r>
        <w:t xml:space="preserve">. Watch the cadence of LaunchPad savings and AI/automation initiatives (PathAI digital pathology, Optum.ai, billing/bad-debt reduction).</w:t>
      </w:r>
    </w:p>
    <w:bookmarkEnd w:id="16"/>
    <w:bookmarkStart w:id="17" w:name="Xfacc6aee2080c5635bee7266f4a4aa97e2691e5"/>
    <w:p>
      <w:pPr>
        <w:pStyle w:val="Heading3"/>
      </w:pPr>
      <w:r>
        <w:t xml:space="preserve">5) M&amp;A cadence and a possible guidance raise</w:t>
      </w:r>
    </w:p>
    <w:p>
      <w:pPr>
        <w:pStyle w:val="Compact"/>
        <w:numPr>
          <w:ilvl w:val="0"/>
          <w:numId w:val="1006"/>
        </w:numPr>
      </w:pPr>
      <w:r>
        <w:t xml:space="preserve">LH deployed</w:t>
      </w:r>
      <w:r>
        <w:t xml:space="preserve"> </w:t>
      </w:r>
      <w:r>
        <w:rPr>
          <w:b/>
          <w:bCs/>
        </w:rPr>
        <w:t xml:space="preserve">$202M on acquisitions in Q1</w:t>
      </w:r>
      <w:r>
        <w:t xml:space="preserve"> </w:t>
      </w:r>
      <w:r>
        <w:t xml:space="preserve">and has an "active pipeline" of hospital/health-system and regional lab deals (CHOP collaboration, Crouse Health, Parkview closing "in the very near future," plus 2025 deals — BioReference, Community Health Systems outreach, Incyte).</w:t>
      </w:r>
    </w:p>
    <w:p>
      <w:pPr>
        <w:pStyle w:val="Compact"/>
        <w:numPr>
          <w:ilvl w:val="0"/>
          <w:numId w:val="1006"/>
        </w:numPr>
      </w:pPr>
      <w:r>
        <w:t xml:space="preserve">LH raised guidance at Q1; with Quest already raising and momentum intact,</w:t>
      </w:r>
      <w:r>
        <w:t xml:space="preserve"> </w:t>
      </w:r>
      <w:r>
        <w:rPr>
          <w:b/>
          <w:bCs/>
        </w:rPr>
        <w:t xml:space="preserve">investors will expect another guidance bump</w:t>
      </w:r>
      <w:r>
        <w:t xml:space="preserve">. The key question is quality: how much comes from organic strength/tuck-in M&amp;A vs. FX. An unchanged guide could read as conservative disappointment given the setup.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the-bigger-overhang-2027-policy-risk"/>
    <w:p>
      <w:pPr>
        <w:pStyle w:val="Heading2"/>
      </w:pPr>
      <w:r>
        <w:t xml:space="preserve">The Bigger Overhang: 2027 Policy Risk</w:t>
      </w:r>
    </w:p>
    <w:p>
      <w:pPr>
        <w:pStyle w:val="FirstParagraph"/>
      </w:pPr>
      <w:r>
        <w:t xml:space="preserve">This may matter more for the stock than the quarter itself, and expect heavy Q&amp;A on it: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PAMA / RESULTS Act.</w:t>
      </w:r>
      <w:r>
        <w:t xml:space="preserve"> </w:t>
      </w:r>
      <w:r>
        <w:t xml:space="preserve">The clinical-lab data-reporting period is underway; PAMA rate cuts would bite</w:t>
      </w:r>
      <w:r>
        <w:t xml:space="preserve"> </w:t>
      </w:r>
      <w:r>
        <w:rPr>
          <w:b/>
          <w:bCs/>
        </w:rPr>
        <w:t xml:space="preserve">in 2027</w:t>
      </w:r>
      <w:r>
        <w:t xml:space="preserve">, not 2026. LH's impact hinges on</w:t>
      </w:r>
      <w:r>
        <w:t xml:space="preserve"> </w:t>
      </w:r>
      <w:r>
        <w:rPr>
          <w:b/>
          <w:bCs/>
        </w:rPr>
        <w:t xml:space="preserve">how many hospital/other labs report</w:t>
      </w:r>
      <w:r>
        <w:t xml:space="preserve"> </w:t>
      </w:r>
      <w:r>
        <w:t xml:space="preserve">— the more that report, the smaller the cut to LH given its low-cost, high-quality positioning. Management continues to push for the RESULTS Act as a permanent fix and is watching for a CBO score and CMS technical assistance.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CRUSH initiative.</w:t>
      </w:r>
      <w:r>
        <w:t xml:space="preserve"> </w:t>
      </w:r>
      <w:r>
        <w:t xml:space="preserve">CMS's effort to curb fraud/waste/abuse; LH is publicly supportive of a "level playing field" but (via ACLA) is urging CMS to avoid unintended consequences for legitimate providers. Look for any color on code-level exposure.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Coverage/subsidy dynamics.</w:t>
      </w:r>
      <w:r>
        <w:t xml:space="preserve"> </w:t>
      </w:r>
      <w:r>
        <w:t xml:space="preserve">LH is carrying a modeled</w:t>
      </w:r>
      <w:r>
        <w:t xml:space="preserve"> </w:t>
      </w:r>
      <w:r>
        <w:rPr>
          <w:b/>
          <w:bCs/>
        </w:rPr>
        <w:t xml:space="preserve">~30 bps ACA-exchange volume headwind</w:t>
      </w:r>
      <w:r>
        <w:t xml:space="preserve"> </w:t>
      </w:r>
      <w:r>
        <w:t xml:space="preserve">for 2026 (immaterial in Q1 so far). Separately, headlines about the expiration of enhanced ACA subsidies and a Medicare Part D premium subsidy ending in 2027 add to the utilization-risk narrative for the sector.</w:t>
      </w:r>
    </w:p>
    <w:p>
      <w:pPr>
        <w:pStyle w:val="Compact"/>
        <w:numPr>
          <w:ilvl w:val="0"/>
          <w:numId w:val="1007"/>
        </w:numPr>
      </w:pPr>
      <w:r>
        <w:t xml:space="preserve">Silver lining framing: management argues PAMA pressure could actually</w:t>
      </w:r>
      <w:r>
        <w:t xml:space="preserve"> </w:t>
      </w:r>
      <w:r>
        <w:rPr>
          <w:b/>
          <w:bCs/>
        </w:rPr>
        <w:t xml:space="preserve">accelerate its hospital-outreach M&amp;A pipeline</w:t>
      </w:r>
      <w:r>
        <w:t xml:space="preserve">, as stressed regional/hospital labs look to partner or sell.</w:t>
      </w:r>
    </w:p>
    <w:p>
      <w:r>
        <w:pict>
          <v:rect style="width:0;height:1.5pt" o:hralign="center" o:hrstd="t" o:hr="t"/>
        </w:pict>
      </w:r>
    </w:p>
    <w:bookmarkEnd w:id="19"/>
    <w:bookmarkStart w:id="20" w:name="other-items-on-the-radar"/>
    <w:p>
      <w:pPr>
        <w:pStyle w:val="Heading2"/>
      </w:pPr>
      <w:r>
        <w:t xml:space="preserve">Other Items on the Radar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Investor Day, Sept 10 (NYC):</w:t>
      </w:r>
      <w:r>
        <w:t xml:space="preserve"> </w:t>
      </w:r>
      <w:r>
        <w:t xml:space="preserve">Expect management to preserve some strategic/long-term-target news for that event rather than the call — but the call sets the tone.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Capital allocation:</w:t>
      </w:r>
      <w:r>
        <w:t xml:space="preserve"> </w:t>
      </w:r>
      <w:r>
        <w:t xml:space="preserve">Q1 saw $98M buybacks + $61M dividends (quarterly dividend $0.72). Balance sheet carries elevated cash/debt after prefunding a $500M note maturity (retired June 2026) via a $750M term loan; watch net leverage and buyback pace.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Tax rate:</w:t>
      </w:r>
      <w:r>
        <w:t xml:space="preserve"> </w:t>
      </w:r>
      <w:r>
        <w:t xml:space="preserve">Full-year adjusted rate still guided to ~23%.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Consumer:</w:t>
      </w:r>
      <w:r>
        <w:t xml:space="preserve"> </w:t>
      </w:r>
      <w:r>
        <w:t xml:space="preserve">Labcorp OnDemand growing double digits; the MyLabcorp AI app launched in May — watch for early engagement metrics.</w:t>
      </w:r>
    </w:p>
    <w:p>
      <w:r>
        <w:pict>
          <v:rect style="width:0;height:1.5pt" o:hralign="center" o:hrstd="t" o:hr="t"/>
        </w:pic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Fundamentally, LH looks set up to deliver another ~5–6% revenue / ~10% EPS quarter with modest margin expansion, and a guidance raise is the base case. The risk is</w:t>
      </w:r>
      <w:r>
        <w:t xml:space="preserve"> </w:t>
      </w:r>
      <w:r>
        <w:rPr>
          <w:b/>
          <w:bCs/>
        </w:rPr>
        <w:t xml:space="preserve">expectations, not execution</w:t>
      </w:r>
      <w:r>
        <w:t xml:space="preserve">: after a ~15% two-week rally fueled by Quest's beat, the market is already leaning bullish. To keep the stock working, LH likely needs to (1) show a volume/weather rebound in Diagnostics, (2) confirm the BLS book-to-bill inflection and Early Development cleanup, and (3) raise guidance on organic quality — while offering a credible, not-too-scary framing of the 2027 PAMA/policy backdrop heading into the September Investor Day. A clean beat-and-raise is likely largely priced; the bigger swing factor is the tone on 2027 reimbursement.</w:t>
      </w:r>
    </w:p>
    <w:p>
      <w:pPr>
        <w:pStyle w:val="BodyText"/>
      </w:pPr>
      <w:r>
        <w:rPr>
          <w:i/>
          <w:iCs/>
        </w:rPr>
        <w:t xml:space="preserve">Preview based on LH's Q1 2026 and Q2 2025 results, Quest's Q2 2026 report, recent price action, and published consensus (~</w:t>
      </w:r>
      <m:oMath>
        <m:r>
          <m:t>4.79</m:t>
        </m:r>
        <m:r>
          <m:t>E</m:t>
        </m:r>
        <m:r>
          <m:t>P</m:t>
        </m:r>
        <m:r>
          <m:t>S</m:t>
        </m:r>
        <m:r>
          <m:rPr>
            <m:sty m:val="p"/>
          </m:rPr>
          <m:t>/</m:t>
        </m:r>
        <m:r>
          <m:t> </m:t>
        </m:r>
      </m:oMath>
      <w:r>
        <w:rPr>
          <w:i/>
          <w:iCs/>
        </w:rPr>
        <w:t xml:space="preserve">3.72B revenue). Figures are approximate; verify against the actual release.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2026-07-29T18:33:09Z</dcterms:created>
  <dcterms:modified xsi:type="dcterms:W3CDTF">2026-07-29T18:33:09Z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