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h-earnings-predictions--2026-07-30"/>
    <w:p>
      <w:pPr>
        <w:pStyle w:val="Heading1"/>
      </w:pPr>
      <w:r>
        <w:t xml:space="preserve">LH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~$4.86 vs. cons $4.79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Enterprise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~$3.75B vs. cons $3.72B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Diagnostics Organic Volume Growth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~1.3% vs. cons ~2.2% implied organic volume growth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18.00</m:t>
              </m:r>
              <m:r>
                <m:rPr>
                  <m:sty m:val="p"/>
                </m:rPr>
                <m:t>−</m:t>
              </m:r>
            </m:oMath>
            <w:r>
              <w:t xml:space="preserve">18.50 (mid $18.25) vs. cons $18.20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Enterprise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~5.2%-6.2% (mid 5.7%) vs. cons 5.8%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BLS Book-to-Bill sequential improvement (Q2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guide/actual ~1.02x vs. cons/prior-quarter 0.94x (Q2 2026, trailing-12mo ~1.05x)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-0.4% (FADE)</w:t>
            </w:r>
          </w:p>
        </w:tc>
        <w:tc>
          <w:tcPr/>
          <w:p>
            <w:pPr>
              <w:pStyle w:val="Compact"/>
            </w:pPr>
            <w:r>
              <w:t xml:space="preserve">Stock has already run up ~18% YTD and sits near consensus price targets, so even a clean beat-and-raise is largely priced in; a modest EPS beat paired with only an in-line/soft Diagnostics organic volume print (ACA/HCA read-through risk) and a guidance raise that likely keeps the low end unchanged (implicit back-half conservatism) gives sell-side limited room to raise out-year numbers meaningfully. Expect an initial small pop on the beat that fades over the week as analysts digest ACA volume commentary, PAMA/RESULTS Act overhang, and profit-taking after the recent rally, unless BLS book-to-bill and Central Labs commentary are unusually strong.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2026-07-29T18:31:35Z</dcterms:created>
  <dcterms:modified xsi:type="dcterms:W3CDTF">2026-07-29T18:31:35Z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