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pull the Q2 2025 earnings release for a proper year-ago comparison base and check for other relevant risk items (PAMA, RESULTS Act, competitive dynamics, DGX comparison).# Labcorp Holdings (LH) — Q2 2026 Earnings Preview</w:t>
      </w:r>
      <w:r>
        <w:t xml:space="preserve"> </w:t>
      </w: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Xc0767b08c5b0fe460ae534fe40e18a6c7a4c873"/>
    <w:p>
      <w:pPr>
        <w:pStyle w:val="Heading2"/>
      </w:pPr>
      <w:r>
        <w:t xml:space="preserve">Setup: A Stock at All-Time Highs Heading Into the Print</w:t>
      </w:r>
    </w:p>
    <w:p>
      <w:pPr>
        <w:pStyle w:val="FirstParagraph"/>
      </w:pPr>
      <w:r>
        <w:t xml:space="preserve">LH shares have been on a tear into this report, closing around $310 on July 29 versus roughly $257 at the end of April — a run that included a fresh 52-week/all-time closing high near $297 in late July. The stock hit a new 52-week high of $298.46, up 9.3% over the past month and 16% since the start of the year, comfortably outpacing the broader medical sector. Analyst sentiment has been supportive: Labcorp's share price has posted a 9.3% one-month return, a 12.66% three-month return, and a 17.93% year-to-date return, with growing analyst confidence, upward earnings estimate revisions, and fresh attention on its recent product launches. BofA recently raised its price target on the stock to $320 from $300 while keeping a Buy rating. Consensus sell-side price targets cluster around</w:t>
      </w:r>
      <w:r>
        <w:t xml:space="preserve"> </w:t>
      </w:r>
      <m:oMath>
        <m:r>
          <m:t>310</m:t>
        </m:r>
        <m:r>
          <m:rPr>
            <m:sty m:val="p"/>
          </m:rPr>
          <m:t>–</m:t>
        </m:r>
      </m:oMath>
      <w:r>
        <w:t xml:space="preserve">312, meaning expectations are already elevated — this raises the bar for tomorrow's print to move the stock further.</w:t>
      </w:r>
    </w:p>
    <w:bookmarkEnd w:id="9"/>
    <w:bookmarkStart w:id="10" w:name="what-wall-street-expects-for-q2"/>
    <w:p>
      <w:pPr>
        <w:pStyle w:val="Heading2"/>
      </w:pPr>
      <w:r>
        <w:t xml:space="preserve">What Wall Street Expects for Q2</w:t>
      </w:r>
    </w:p>
    <w:p>
      <w:pPr>
        <w:pStyle w:val="FirstParagraph"/>
      </w:pPr>
      <w:r>
        <w:t xml:space="preserve">Consensus calls for Labcorp to report Q2 2026 earnings on July 30, with analysts expecting $3.72 billion in revenue and adjusted EPS of $4.79, which would represent a 5.4% rise in revenue from the year-ago figure and a 10.1% improvement in EPS versus the $3.53 billion of revenue and $4.35 of adjusted EPS Labcorp posted in Q2 2025. Labcorp has a strong beat history: the company posted adjusted EPS of $4.25 last quarter, surpassing consensus by 3.91%, and has outpaced estimates in each of the trailing four quarters, with an average surprise of 3.31%.</w:t>
      </w:r>
    </w:p>
    <w:bookmarkEnd w:id="10"/>
    <w:bookmarkStart w:id="11" w:name="q1-2026-recap-the-baseline-going-in"/>
    <w:p>
      <w:pPr>
        <w:pStyle w:val="Heading2"/>
      </w:pPr>
      <w:r>
        <w:t xml:space="preserve">Q1 2026 Recap: The Baseline Going In</w:t>
      </w:r>
    </w:p>
    <w:p>
      <w:pPr>
        <w:pStyle w:val="FirstParagraph"/>
      </w:pPr>
      <w:r>
        <w:t xml:space="preserve">Labcorp's first-quarter print (reported April 30) was strong and set an encouraging tone:</w:t>
      </w:r>
    </w:p>
    <w:p>
      <w:pPr>
        <w:pStyle w:val="Compact"/>
        <w:numPr>
          <w:ilvl w:val="0"/>
          <w:numId w:val="1001"/>
        </w:numPr>
      </w:pPr>
      <w:r>
        <w:rPr>
          <w:b/>
          <w:bCs/>
        </w:rPr>
        <w:t xml:space="preserve">Enterprise revenue</w:t>
      </w:r>
      <w:r>
        <w:t xml:space="preserve"> </w:t>
      </w:r>
      <w:r>
        <w:t xml:space="preserve">of $3.54 billion, up 5.8% year-over-year, with adjusted EPS of $4.25, up 10.6%, and adjusted operating margin expanding more than 30 basis points to 14.4%.</w:t>
      </w:r>
    </w:p>
    <w:p>
      <w:pPr>
        <w:pStyle w:val="Compact"/>
        <w:numPr>
          <w:ilvl w:val="0"/>
          <w:numId w:val="1001"/>
        </w:numPr>
      </w:pPr>
      <w:r>
        <w:rPr>
          <w:b/>
          <w:bCs/>
        </w:rPr>
        <w:t xml:space="preserve">Diagnostics</w:t>
      </w:r>
      <w:r>
        <w:t xml:space="preserve"> </w:t>
      </w:r>
      <w:r>
        <w:t xml:space="preserve">segment revenue grew 5%, with organic growth of 2.9% and organic volume growth of only 1.1% — weather was estimated to have cost about $15 million in the quarter, and organic volume growth would have been closer to 2% excluding that impact.</w:t>
      </w:r>
    </w:p>
    <w:p>
      <w:pPr>
        <w:pStyle w:val="Compact"/>
        <w:numPr>
          <w:ilvl w:val="0"/>
          <w:numId w:val="1001"/>
        </w:numPr>
      </w:pPr>
      <w:r>
        <w:rPr>
          <w:b/>
          <w:bCs/>
        </w:rPr>
        <w:t xml:space="preserve">Biopharma Laboratory Services (BLS)</w:t>
      </w:r>
      <w:r>
        <w:t xml:space="preserve"> </w:t>
      </w:r>
      <w:r>
        <w:t xml:space="preserve">revenue rose 8.2%, powered by Central Labs organic growth of ~5% (constant currency), while Early Development was roughly flat as the company works through strategic restructuring actions there, expected to be largely complete by the end of Q2.</w:t>
      </w:r>
    </w:p>
    <w:p>
      <w:pPr>
        <w:pStyle w:val="Compact"/>
        <w:numPr>
          <w:ilvl w:val="0"/>
          <w:numId w:val="1001"/>
        </w:numPr>
      </w:pPr>
      <w:r>
        <w:t xml:space="preserve">BLS book-to-bill was soft in the quarter (0.94), though management said they expect book-to-bill to improve sequentially in the second quarter, attributing the Q1 softness mostly to deal timing, with trailing-12-month book-to-bill remaining healthy at 1.04.</w:t>
      </w:r>
    </w:p>
    <w:p>
      <w:pPr>
        <w:pStyle w:val="Compact"/>
        <w:numPr>
          <w:ilvl w:val="0"/>
          <w:numId w:val="1001"/>
        </w:numPr>
      </w:pPr>
      <w:r>
        <w:t xml:space="preserve">Management raised full-year 2026 guidance: enterprise revenue growth of 5.0%–6.1%, adjusted EPS of</w:t>
      </w:r>
      <w:r>
        <w:t xml:space="preserve"> </w:t>
      </w:r>
      <m:oMath>
        <m:r>
          <m:t>17.70</m:t>
        </m:r>
        <m:r>
          <m:rPr>
            <m:sty m:val="p"/>
          </m:rPr>
          <m:t>–</m:t>
        </m:r>
      </m:oMath>
      <w:r>
        <w:t xml:space="preserve">18.35 (midpoint $18.03, implying ~10% growth), and free cash flow of</w:t>
      </w:r>
      <w:r>
        <w:t xml:space="preserve"> </w:t>
      </w:r>
      <m:oMath>
        <m:r>
          <m:t>1.24</m:t>
        </m:r>
        <m:r>
          <m:rPr>
            <m:sty m:val="p"/>
          </m:rPr>
          <m:t>–</m:t>
        </m:r>
      </m:oMath>
      <w:r>
        <w:t xml:space="preserve">1.36 billion.</w:t>
      </w:r>
    </w:p>
    <w:p>
      <w:pPr>
        <w:pStyle w:val="Compact"/>
        <w:numPr>
          <w:ilvl w:val="0"/>
          <w:numId w:val="1001"/>
        </w:numPr>
      </w:pPr>
      <w:r>
        <w:t xml:space="preserve">Management flagged manageable headwinds from fuel costs (~$5–10 million AOI impact) and a modeled ~30 basis point drag on Diagnostics volume from ACA exchange dynamics, though the Q1 impact from ACA changes was described as immaterial, with management noting it may be too early to draw firm conclusions.</w:t>
      </w:r>
    </w:p>
    <w:bookmarkEnd w:id="11"/>
    <w:bookmarkStart w:id="12" w:name="key-debates-heading-into-q2"/>
    <w:p>
      <w:pPr>
        <w:pStyle w:val="Heading2"/>
      </w:pPr>
      <w:r>
        <w:t xml:space="preserve">Key Debates Heading Into Q2</w:t>
      </w:r>
    </w:p>
    <w:p>
      <w:pPr>
        <w:pStyle w:val="FirstParagraph"/>
      </w:pPr>
      <w:r>
        <w:rPr>
          <w:b/>
          <w:bCs/>
        </w:rPr>
        <w:t xml:space="preserve">1. ACA/exchange-related volume — has the headwind shown up yet?</w:t>
      </w:r>
      <w:r>
        <w:t xml:space="preserve"> </w:t>
      </w:r>
      <w:r>
        <w:t xml:space="preserve">This is arguably the top swing factor for the quarter. In mid-July, Barclays flagged that HCA Healthcare's preannouncement on Q2 ACA-related coverage losses was a negative read-through for lab peers: Barclays views HCA Healthcare's preannouncement on Affordable Care Act coverage lost during Q2 as a negative read-through for Quest Diagnostics and Labcorp. Investors will be watching Diagnostics organic volume and price/mix trends closely for signs that the previously guided ~30bp full-year headwind is tracking in line, better, or worse than expected — and whether management adjusts that assumption on the call.</w:t>
      </w:r>
    </w:p>
    <w:p>
      <w:pPr>
        <w:pStyle w:val="BodyText"/>
      </w:pPr>
      <w:r>
        <w:rPr>
          <w:b/>
          <w:bCs/>
        </w:rPr>
        <w:t xml:space="preserve">2. Regulatory overhang: CRUSH initiative, PAMA and the RESULTS Act.</w:t>
      </w:r>
      <w:r>
        <w:t xml:space="preserve"> </w:t>
      </w:r>
      <w:r>
        <w:t xml:space="preserve">On the Q1 call, management addressed CMS's "CRUSH" anti-fraud/waste initiative and continued lobbying for the RESULTS Act as a permanent fix to PAMA reimbursement mechanics. Management noted the letter submitted through trade group ACLA encourages CMS to be thoughtful to avoid impeding patient access or punishing legitimate providers, while continuing to push for the RESULTS Act as the appropriate long-term path forward. With the 2026 PAMA data-reporting survey now underway, any updated commentary on hospital-lab participation rates and the CBO scoring timeline for the RESULTS Act will be an important read for 2027 reimbursement risk.</w:t>
      </w:r>
    </w:p>
    <w:p>
      <w:pPr>
        <w:pStyle w:val="BodyText"/>
      </w:pPr>
      <w:r>
        <w:rPr>
          <w:b/>
          <w:bCs/>
        </w:rPr>
        <w:t xml:space="preserve">3. Compliance overhang: DOJ settlement.</w:t>
      </w:r>
      <w:r>
        <w:t xml:space="preserve"> </w:t>
      </w:r>
      <w:r>
        <w:t xml:space="preserve">Labcorp recently agreed to resolve a False Claims Act matter tied to historical urine drug testing billing practices. Labcorp agreed to pay $14.5 million to resolve allegations that it violated the False Claims Act by submitting false claims to Medicare for medically unnecessary urine drug testing covering the 2018–2023 period. Financially the settlement is immaterial to a company of Labcorp's size, but expect analysts to ask about compliance controls and whether any other legacy billing reviews are outstanding.</w:t>
      </w:r>
    </w:p>
    <w:p>
      <w:pPr>
        <w:pStyle w:val="BodyText"/>
      </w:pPr>
      <w:r>
        <w:rPr>
          <w:b/>
          <w:bCs/>
        </w:rPr>
        <w:t xml:space="preserve">4. BLS book-to-bill and Early Development restructuring.</w:t>
      </w:r>
      <w:r>
        <w:t xml:space="preserve"> </w:t>
      </w:r>
      <w:r>
        <w:t xml:space="preserve">Given the softer 0.94 quarterly book-to-bill in Q1, investors will want confirmation that bookings improved sequentially as guided, that Central Labs organic growth (mid-single-digit full-year target) remains intact, and that Early Development's restructuring actions — due to wrap up by quarter-end — are translating into the margin expansion management has promised (BLS margin expected to expand more than Diagnostics in 2026).</w:t>
      </w:r>
    </w:p>
    <w:p>
      <w:pPr>
        <w:pStyle w:val="BodyText"/>
      </w:pPr>
      <w:r>
        <w:rPr>
          <w:b/>
          <w:bCs/>
        </w:rPr>
        <w:t xml:space="preserve">5. Margin cadence and LaunchPad savings.</w:t>
      </w:r>
      <w:r>
        <w:t xml:space="preserve"> </w:t>
      </w:r>
      <w:r>
        <w:t xml:space="preserve">Enterprise adjusted operating margin expanded 30bp in Q1 to 14.4%, with management guiding to margin expansion in both segments for the full year, aided by AI/automation-driven "LaunchPad" efficiency initiatives (digital pathology, billing automation, robotics). Watch for updated color on the pace of these savings and whether tariff/fuel cost assumptions have changed.</w:t>
      </w:r>
    </w:p>
    <w:p>
      <w:pPr>
        <w:pStyle w:val="BodyText"/>
      </w:pPr>
      <w:r>
        <w:rPr>
          <w:b/>
          <w:bCs/>
        </w:rPr>
        <w:t xml:space="preserve">6. Capital deployment and the deal pipeline.</w:t>
      </w:r>
      <w:r>
        <w:t xml:space="preserve"> </w:t>
      </w:r>
      <w:r>
        <w:t xml:space="preserve">Labcorp remains acquisitive in health-system and regional/local lab outreach deals (Crouse Health, Parkview Health, CHOP collaboration in Q1) while also returning cash via buybacks ($98 million in Q1) and its $0.72/share quarterly dividend. Management described the M&amp;A pipeline as very strong, noting hospital systems are increasingly seeking partnership structures, and suggested that pipeline could even expand further if PAMA reimbursement pressure on independent hospital labs intensifies. Expect an update on additional deals, plus confirmation the Parkview outreach deal has closed.</w:t>
      </w:r>
    </w:p>
    <w:p>
      <w:pPr>
        <w:pStyle w:val="BodyText"/>
      </w:pPr>
      <w:r>
        <w:rPr>
          <w:b/>
          <w:bCs/>
        </w:rPr>
        <w:t xml:space="preserve">7. Product/growth-pipeline newsflow since Q1.</w:t>
      </w:r>
      <w:r>
        <w:t xml:space="preserve"> </w:t>
      </w:r>
      <w:r>
        <w:t xml:space="preserve">Since the last call, Labcorp has layered in several incremental growth initiatives: the MyLabcorp consumer app launched in May, nationwide availability of ColoSense (an at-home RNA-based colorectal cancer screening test) in late June, an expanded Epic EHR collaboration, a $364.7 million Defense Health Agency contract award, and a new Marker by Labcorp Genetic Health Panel consumer product slated to launch August 3. None of these are likely to move the Q2 numbers materially, but they support the specialty/consumer growth narrative management has been building.</w:t>
      </w:r>
    </w:p>
    <w:bookmarkEnd w:id="12"/>
    <w:bookmarkStart w:id="13" w:name="guidance-will-they-raise-again"/>
    <w:p>
      <w:pPr>
        <w:pStyle w:val="Heading2"/>
      </w:pPr>
      <w:r>
        <w:t xml:space="preserve">Guidance: Will They Raise Again?</w:t>
      </w:r>
    </w:p>
    <w:p>
      <w:pPr>
        <w:pStyle w:val="FirstParagraph"/>
      </w:pPr>
      <w:r>
        <w:t xml:space="preserve">Labcorp has raised full-year guidance twice already this year (with Q1 results) and has a track record of beating estimates. Given the strength of the recent share-price run and consensus already sitting near the top end of the current</w:t>
      </w:r>
      <w:r>
        <w:t xml:space="preserve"> </w:t>
      </w:r>
      <m:oMath>
        <m:r>
          <m:t>17.70</m:t>
        </m:r>
        <m:r>
          <m:rPr>
            <m:sty m:val="p"/>
          </m:rPr>
          <m:t>–</m:t>
        </m:r>
      </m:oMath>
      <w:r>
        <w:t xml:space="preserve">18.35 adjusted EPS range, the market appears to be pricing in another guidance raise. A raise that merely reaffirms the current range, or one seen as too modest relative to the momentum in central labs and specialty diagnostics, could trigger a "sell-the-news" reaction given how far the stock has run. Free cash flow guidance (</w:t>
      </w:r>
      <m:oMath>
        <m:r>
          <m:t>1.24</m:t>
        </m:r>
        <m:r>
          <m:rPr>
            <m:sty m:val="p"/>
          </m:rPr>
          <m:t>–</m:t>
        </m:r>
      </m:oMath>
      <w:r>
        <w:t xml:space="preserve">1.36 billion, weighted to the back half of the year) is another line worth checking given Q1's still-modest $70.5 million of free cash flow.</w:t>
      </w:r>
    </w:p>
    <w:bookmarkEnd w:id="13"/>
    <w:bookmarkStart w:id="14" w:name="valuation-context"/>
    <w:p>
      <w:pPr>
        <w:pStyle w:val="Heading2"/>
      </w:pPr>
      <w:r>
        <w:t xml:space="preserve">Valuation Context</w:t>
      </w:r>
    </w:p>
    <w:p>
      <w:pPr>
        <w:pStyle w:val="FirstParagraph"/>
      </w:pPr>
      <w:r>
        <w:t xml:space="preserve">With shares near all-time highs and trading close to consensus price targets (~</w:t>
      </w:r>
      <m:oMath>
        <m:r>
          <m:t>310</m:t>
        </m:r>
        <m:r>
          <m:rPr>
            <m:sty m:val="p"/>
          </m:rPr>
          <m:t>–</m:t>
        </m:r>
      </m:oMath>
      <w:r>
        <w:t xml:space="preserve">312), the risk/reward into the print looks more balanced than it did a quarter or two ago. The stock is roughly in line with average analyst fair-value estimates, though the highest analyst targets extend to $340 and the most cautious to $270 — reflecting genuine debate about whether PAMA-related reimbursement risk and ACA-exchange volume softness are already priced in versus underappreciated.</w:t>
      </w:r>
    </w:p>
    <w:bookmarkEnd w:id="14"/>
    <w:bookmarkStart w:id="15" w:name="bottom-line--what-to-watch-on-the-call"/>
    <w:p>
      <w:pPr>
        <w:pStyle w:val="Heading2"/>
      </w:pPr>
      <w:r>
        <w:t xml:space="preserve">Bottom Line — What to Watch on the Call</w:t>
      </w:r>
    </w:p>
    <w:p>
      <w:pPr>
        <w:pStyle w:val="Compact"/>
        <w:numPr>
          <w:ilvl w:val="0"/>
          <w:numId w:val="1002"/>
        </w:numPr>
      </w:pPr>
      <w:r>
        <w:rPr>
          <w:b/>
          <w:bCs/>
        </w:rPr>
        <w:t xml:space="preserve">Beat-and-raise magnitude</w:t>
      </w:r>
      <w:r>
        <w:t xml:space="preserve"> </w:t>
      </w:r>
      <w:r>
        <w:t xml:space="preserve">relative to the $3.72B revenue / $4.79 EPS consensus, and whether full-year guidance moves up again.</w:t>
      </w:r>
    </w:p>
    <w:p>
      <w:pPr>
        <w:pStyle w:val="Compact"/>
        <w:numPr>
          <w:ilvl w:val="0"/>
          <w:numId w:val="1002"/>
        </w:numPr>
      </w:pPr>
      <w:r>
        <w:rPr>
          <w:b/>
          <w:bCs/>
        </w:rPr>
        <w:t xml:space="preserve">Diagnostics organic volume/price-mix trends</w:t>
      </w:r>
      <w:r>
        <w:t xml:space="preserve">, specifically any incremental commentary on ACA-exchange-related softness following the HCA read-through.</w:t>
      </w:r>
    </w:p>
    <w:p>
      <w:pPr>
        <w:pStyle w:val="Compact"/>
        <w:numPr>
          <w:ilvl w:val="0"/>
          <w:numId w:val="1002"/>
        </w:numPr>
      </w:pPr>
      <w:r>
        <w:rPr>
          <w:b/>
          <w:bCs/>
        </w:rPr>
        <w:t xml:space="preserve">BLS book-to-bill sequential improvement</w:t>
      </w:r>
      <w:r>
        <w:t xml:space="preserve"> </w:t>
      </w:r>
      <w:r>
        <w:t xml:space="preserve">and Central Labs organic growth durability.</w:t>
      </w:r>
    </w:p>
    <w:p>
      <w:pPr>
        <w:pStyle w:val="Compact"/>
        <w:numPr>
          <w:ilvl w:val="0"/>
          <w:numId w:val="1002"/>
        </w:numPr>
      </w:pPr>
      <w:r>
        <w:rPr>
          <w:b/>
          <w:bCs/>
        </w:rPr>
        <w:t xml:space="preserve">Margin trajectory</w:t>
      </w:r>
      <w:r>
        <w:t xml:space="preserve"> </w:t>
      </w:r>
      <w:r>
        <w:t xml:space="preserve">in both segments and progress on LaunchPad-driven efficiency gains.</w:t>
      </w:r>
    </w:p>
    <w:p>
      <w:pPr>
        <w:pStyle w:val="Compact"/>
        <w:numPr>
          <w:ilvl w:val="0"/>
          <w:numId w:val="1002"/>
        </w:numPr>
      </w:pPr>
      <w:r>
        <w:rPr>
          <w:b/>
          <w:bCs/>
        </w:rPr>
        <w:t xml:space="preserve">M&amp;A/capital deployment updates</w:t>
      </w:r>
      <w:r>
        <w:t xml:space="preserve"> </w:t>
      </w:r>
      <w:r>
        <w:t xml:space="preserve">(hospital/health-system outreach deals, buyback pace).</w:t>
      </w:r>
    </w:p>
    <w:p>
      <w:pPr>
        <w:pStyle w:val="Compact"/>
        <w:numPr>
          <w:ilvl w:val="0"/>
          <w:numId w:val="1002"/>
        </w:numPr>
      </w:pPr>
      <w:r>
        <w:t xml:space="preserve">Any new color on</w:t>
      </w:r>
      <w:r>
        <w:t xml:space="preserve"> </w:t>
      </w:r>
      <w:r>
        <w:rPr>
          <w:b/>
          <w:bCs/>
        </w:rPr>
        <w:t xml:space="preserve">PAMA/RESULTS Act</w:t>
      </w:r>
      <w:r>
        <w:t xml:space="preserve"> </w:t>
      </w:r>
      <w:r>
        <w:t xml:space="preserve">timing and the CRUSH initiative's potential impact on lab reimbursement.</w:t>
      </w:r>
    </w:p>
    <w:p>
      <w:pPr>
        <w:pStyle w:val="Compact"/>
        <w:numPr>
          <w:ilvl w:val="0"/>
          <w:numId w:val="1002"/>
        </w:numPr>
      </w:pPr>
      <w:r>
        <w:t xml:space="preserve">Preview commentary ahead of the</w:t>
      </w:r>
      <w:r>
        <w:t xml:space="preserve"> </w:t>
      </w:r>
      <w:r>
        <w:rPr>
          <w:b/>
          <w:bCs/>
        </w:rPr>
        <w:t xml:space="preserve">September 10 Investor Day</w:t>
      </w:r>
      <w:r>
        <w:t xml:space="preserve"> </w:t>
      </w:r>
      <w:r>
        <w:t xml:space="preserve">in New York, which could be used to frame a longer-term growth algorithm.</w:t>
      </w:r>
    </w:p>
    <w:p>
      <w:pPr>
        <w:pStyle w:val="FirstParagraph"/>
      </w:pPr>
      <w:r>
        <w:t xml:space="preserve">Given how far the stock has rallied into the print, the bar for an unambiguously positive reaction is high — a "clean" beat-and-raise with reassuring commentary on ACA volumes and BLS bookings is likely needed to sustain the recent momentum, while any wobble on those fronts (even against an otherwise solid quarter) could spark near-term profit-taking.</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2026-07-29T18:31:35Z</dcterms:created>
  <dcterms:modified xsi:type="dcterms:W3CDTF">2026-07-29T18:31:35Z</dcterms:modified>
</cp:coreProperties>
</file>

<file path=docProps/custom.xml><?xml version="1.0" encoding="utf-8"?>
<Properties xmlns="http://schemas.openxmlformats.org/officeDocument/2006/custom-properties" xmlns:vt="http://schemas.openxmlformats.org/officeDocument/2006/docPropsVTypes"/>
</file>