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Xdcfa97ce083e0e09c3dcd6d7971f9dcb14a27b4"/>
    <w:p>
      <w:pPr>
        <w:pStyle w:val="Heading1"/>
      </w:pPr>
      <w:r>
        <w:t xml:space="preserve">Labcorp (NYSE: LH) — 2026 Q2 Earnings Preview</w:t>
      </w:r>
    </w:p>
    <w:p>
      <w:pPr>
        <w:pStyle w:val="FirstParagraph"/>
      </w:pPr>
      <w:r>
        <w:rPr>
          <w:b/>
          <w:bCs/>
        </w:rPr>
        <w:t xml:space="preserve">Report:</w:t>
      </w:r>
      <w:r>
        <w:t xml:space="preserve"> </w:t>
      </w:r>
      <w:r>
        <w:t xml:space="preserve">Thursday, July 30, 2026, before the market opens</w:t>
      </w:r>
      <w:r>
        <w:br/>
      </w:r>
      <w:r>
        <w:rPr>
          <w:b/>
          <w:bCs/>
        </w:rPr>
        <w:t xml:space="preserve">Conference call:</w:t>
      </w:r>
      <w:r>
        <w:t xml:space="preserve"> </w:t>
      </w:r>
      <w:r>
        <w:t xml:space="preserve">9:00 a.m. ET (</w:t>
      </w:r>
      <w:hyperlink r:id="rId9">
        <w:r>
          <w:rPr>
            <w:rStyle w:val="Hyperlink"/>
          </w:rPr>
          <w:t xml:space="preserve">ir.labcorp.com</w:t>
        </w:r>
      </w:hyperlink>
      <w:r>
        <w:t xml:space="preserve">)</w:t>
      </w:r>
    </w:p>
    <w:bookmarkStart w:id="10" w:name="investment-view-going-into-the-report"/>
    <w:p>
      <w:pPr>
        <w:pStyle w:val="Heading2"/>
      </w:pPr>
      <w:r>
        <w:t xml:space="preserve">Investment view going into the report</w:t>
      </w:r>
    </w:p>
    <w:p>
      <w:pPr>
        <w:pStyle w:val="FirstParagraph"/>
      </w:pPr>
      <w:r>
        <w:t xml:space="preserve">Labcorp enters Q2 with favorable operating momentum, a constructive read-through from Quest Diagnostics, and rising demand for specialty and consumer testing. The main complication is the stock: at roughly</w:t>
      </w:r>
      <w:r>
        <w:t xml:space="preserve"> </w:t>
      </w:r>
      <w:r>
        <w:rPr>
          <w:b/>
          <w:bCs/>
        </w:rPr>
        <w:t xml:space="preserve">$310 on July 29</w:t>
      </w:r>
      <w:r>
        <w:t xml:space="preserve">, LH has gained about</w:t>
      </w:r>
      <w:r>
        <w:t xml:space="preserve"> </w:t>
      </w:r>
      <w:r>
        <w:rPr>
          <w:b/>
          <w:bCs/>
        </w:rPr>
        <w:t xml:space="preserve">21% since its Q1 report</w:t>
      </w:r>
      <w:r>
        <w:t xml:space="preserve"> </w:t>
      </w:r>
      <w:r>
        <w:t xml:space="preserve">and roughly</w:t>
      </w:r>
      <w:r>
        <w:t xml:space="preserve"> </w:t>
      </w:r>
      <w:r>
        <w:rPr>
          <w:b/>
          <w:bCs/>
        </w:rPr>
        <w:t xml:space="preserve">10% over the past week</w:t>
      </w:r>
      <w:r>
        <w:t xml:space="preserve">.</w:t>
      </w:r>
    </w:p>
    <w:p>
      <w:pPr>
        <w:pStyle w:val="BodyText"/>
      </w:pPr>
      <w:r>
        <w:t xml:space="preserve">Consequently, simply matching consensus and maintaining guidance may not be enough. The market is likely looking for:</w:t>
      </w:r>
    </w:p>
    <w:p>
      <w:pPr>
        <w:pStyle w:val="Compact"/>
        <w:numPr>
          <w:ilvl w:val="0"/>
          <w:numId w:val="1001"/>
        </w:numPr>
      </w:pPr>
      <w:r>
        <w:t xml:space="preserve">Healthy Diagnostics organic volume and price/mix;</w:t>
      </w:r>
    </w:p>
    <w:p>
      <w:pPr>
        <w:pStyle w:val="Compact"/>
        <w:numPr>
          <w:ilvl w:val="0"/>
          <w:numId w:val="1001"/>
        </w:numPr>
      </w:pPr>
      <w:r>
        <w:t xml:space="preserve">Continued margin expansion;</w:t>
      </w:r>
    </w:p>
    <w:p>
      <w:pPr>
        <w:pStyle w:val="Compact"/>
        <w:numPr>
          <w:ilvl w:val="0"/>
          <w:numId w:val="1001"/>
        </w:numPr>
      </w:pPr>
      <w:r>
        <w:t xml:space="preserve">A sequential recovery in Biopharma Laboratory Services bookings;</w:t>
      </w:r>
    </w:p>
    <w:p>
      <w:pPr>
        <w:pStyle w:val="Compact"/>
        <w:numPr>
          <w:ilvl w:val="0"/>
          <w:numId w:val="1001"/>
        </w:numPr>
      </w:pPr>
      <w:r>
        <w:t xml:space="preserve">At least a modest increase to full-year guidance; and</w:t>
      </w:r>
    </w:p>
    <w:p>
      <w:pPr>
        <w:pStyle w:val="Compact"/>
        <w:numPr>
          <w:ilvl w:val="0"/>
          <w:numId w:val="1001"/>
        </w:numPr>
      </w:pPr>
      <w:r>
        <w:t xml:space="preserve">Reassuring commentary on 2027 Medicare laboratory reimbursement.</w:t>
      </w:r>
    </w:p>
    <w:p>
      <w:pPr>
        <w:pStyle w:val="FirstParagraph"/>
      </w:pPr>
      <w:r>
        <w:t xml:space="preserve">Our bias is that the operating setup is positive, particularly in Diagnostics. The swing factors are whether Biopharma Laboratory Services delivers the promised bookings improvement and whether management raises guidance enough to satisfy elevated expectations.</w:t>
      </w:r>
    </w:p>
    <w:p>
      <w:r>
        <w:pict>
          <v:rect style="width:0;height:1.5pt" o:hralign="center" o:hrstd="t" o:hr="t"/>
        </w:pict>
      </w:r>
    </w:p>
    <w:bookmarkEnd w:id="10"/>
    <w:bookmarkStart w:id="14" w:name="street-expectations"/>
    <w:p>
      <w:pPr>
        <w:pStyle w:val="Heading2"/>
      </w:pPr>
      <w:r>
        <w:t xml:space="preserve">Street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~$3.72B</w:t>
            </w:r>
          </w:p>
        </w:tc>
        <w:tc>
          <w:tcPr/>
          <w:p>
            <w:pPr>
              <w:pStyle w:val="Compact"/>
              <w:jc w:val="right"/>
            </w:pPr>
            <w:r>
              <w:t xml:space="preserve">$3.53B</w:t>
            </w:r>
          </w:p>
        </w:tc>
        <w:tc>
          <w:tcPr/>
          <w:p>
            <w:pPr>
              <w:pStyle w:val="Compact"/>
              <w:jc w:val="right"/>
            </w:pPr>
            <w:r>
              <w:t xml:space="preserve">~5.4%</w:t>
            </w:r>
          </w:p>
        </w:tc>
      </w:tr>
      <w:tr>
        <w:tc>
          <w:tcPr/>
          <w:p>
            <w:pPr>
              <w:pStyle w:val="Compact"/>
            </w:pPr>
            <w:r>
              <w:t xml:space="preserve">Adjusted EPS</w:t>
            </w:r>
          </w:p>
        </w:tc>
        <w:tc>
          <w:tcPr/>
          <w:p>
            <w:pPr>
              <w:pStyle w:val="Compact"/>
              <w:jc w:val="right"/>
            </w:pPr>
            <w:r>
              <w:rPr>
                <w:b/>
                <w:bCs/>
              </w:rPr>
              <w:t xml:space="preserve">$4.79</w:t>
            </w:r>
          </w:p>
        </w:tc>
        <w:tc>
          <w:tcPr/>
          <w:p>
            <w:pPr>
              <w:pStyle w:val="Compact"/>
              <w:jc w:val="right"/>
            </w:pPr>
            <w:r>
              <w:t xml:space="preserve">$4.35</w:t>
            </w:r>
          </w:p>
        </w:tc>
        <w:tc>
          <w:tcPr/>
          <w:p>
            <w:pPr>
              <w:pStyle w:val="Compact"/>
              <w:jc w:val="right"/>
            </w:pPr>
            <w:r>
              <w:t xml:space="preserve">~10.1%</w:t>
            </w:r>
          </w:p>
        </w:tc>
      </w:tr>
    </w:tbl>
    <w:p>
      <w:pPr>
        <w:pStyle w:val="BodyText"/>
      </w:pPr>
      <w:r>
        <w:t xml:space="preserve">The current estimate range is approximately</w:t>
      </w:r>
      <w:r>
        <w:t xml:space="preserve"> </w:t>
      </w:r>
      <m:oMath>
        <m:r>
          <m:t>4.71</m:t>
        </m:r>
        <m:r>
          <m:rPr>
            <m:sty m:val="p"/>
          </m:rPr>
          <m:t>–</m:t>
        </m:r>
      </m:oMath>
      <w:r>
        <w:rPr>
          <w:b/>
          <w:bCs/>
        </w:rPr>
        <w:t xml:space="preserve">5.02</w:t>
      </w:r>
      <w:r>
        <w:t xml:space="preserve"> </w:t>
      </w:r>
      <w:r>
        <w:t xml:space="preserve">for adjusted EPS. Full-year consensus is about</w:t>
      </w:r>
      <w:r>
        <w:t xml:space="preserve"> </w:t>
      </w:r>
      <w:r>
        <w:rPr>
          <w:b/>
          <w:bCs/>
        </w:rPr>
        <w:t xml:space="preserve">$14.71B of revenue and $18.00 of adjusted EPS</w:t>
      </w:r>
      <w:r>
        <w:t xml:space="preserve">. (</w:t>
      </w:r>
      <w:hyperlink r:id="rId11">
        <w:r>
          <w:rPr>
            <w:rStyle w:val="Hyperlink"/>
          </w:rPr>
          <w:t xml:space="preserve">barchart.com</w:t>
        </w:r>
      </w:hyperlink>
      <w:r>
        <w:t xml:space="preserve">)</w:t>
      </w:r>
    </w:p>
    <w:bookmarkStart w:id="13" w:name="current-company-guidance"/>
    <w:p>
      <w:pPr>
        <w:pStyle w:val="Heading3"/>
      </w:pPr>
      <w:r>
        <w:t xml:space="preserve">Current company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Enterprise revenue</w:t>
            </w:r>
          </w:p>
        </w:tc>
        <w:tc>
          <w:tcPr/>
          <w:p>
            <w:pPr>
              <w:pStyle w:val="Compact"/>
              <w:jc w:val="right"/>
            </w:pPr>
            <m:oMath>
              <m:r>
                <m:t>14.65</m:t>
              </m:r>
              <m:r>
                <m:t>B</m:t>
              </m:r>
              <m:r>
                <m:rPr>
                  <m:sty m:val="p"/>
                </m:rPr>
                <m:t>–</m:t>
              </m:r>
            </m:oMath>
            <w:r>
              <w:rPr>
                <w:b/>
                <w:bCs/>
              </w:rPr>
              <w:t xml:space="preserve">14.80B</w:t>
            </w:r>
          </w:p>
        </w:tc>
      </w:tr>
      <w:tr>
        <w:tc>
          <w:tcPr/>
          <w:p>
            <w:pPr>
              <w:pStyle w:val="Compact"/>
            </w:pPr>
            <w:r>
              <w:t xml:space="preserve">Revenue growth</w:t>
            </w:r>
          </w:p>
        </w:tc>
        <w:tc>
          <w:tcPr/>
          <w:p>
            <w:pPr>
              <w:pStyle w:val="Compact"/>
              <w:jc w:val="right"/>
            </w:pPr>
            <w:r>
              <w:rPr>
                <w:b/>
                <w:bCs/>
              </w:rPr>
              <w:t xml:space="preserve">5.0%–6.1%</w:t>
            </w:r>
          </w:p>
        </w:tc>
      </w:tr>
      <w:tr>
        <w:tc>
          <w:tcPr/>
          <w:p>
            <w:pPr>
              <w:pStyle w:val="Compact"/>
            </w:pPr>
            <w:r>
              <w:t xml:space="preserve">Diagnostics revenue growth</w:t>
            </w:r>
          </w:p>
        </w:tc>
        <w:tc>
          <w:tcPr/>
          <w:p>
            <w:pPr>
              <w:pStyle w:val="Compact"/>
              <w:jc w:val="right"/>
            </w:pPr>
            <w:r>
              <w:rPr>
                <w:b/>
                <w:bCs/>
              </w:rPr>
              <w:t xml:space="preserve">5.1%–5.9%</w:t>
            </w:r>
          </w:p>
        </w:tc>
      </w:tr>
      <w:tr>
        <w:tc>
          <w:tcPr/>
          <w:p>
            <w:pPr>
              <w:pStyle w:val="Compact"/>
            </w:pPr>
            <w:r>
              <w:t xml:space="preserve">Biopharma Laboratory Services growth</w:t>
            </w:r>
          </w:p>
        </w:tc>
        <w:tc>
          <w:tcPr/>
          <w:p>
            <w:pPr>
              <w:pStyle w:val="Compact"/>
              <w:jc w:val="right"/>
            </w:pPr>
            <w:r>
              <w:rPr>
                <w:b/>
                <w:bCs/>
              </w:rPr>
              <w:t xml:space="preserve">3.8%–5.4%</w:t>
            </w:r>
          </w:p>
        </w:tc>
      </w:tr>
      <w:tr>
        <w:tc>
          <w:tcPr/>
          <w:p>
            <w:pPr>
              <w:pStyle w:val="Compact"/>
            </w:pPr>
            <w:r>
              <w:t xml:space="preserve">Adjusted EPS</w:t>
            </w:r>
          </w:p>
        </w:tc>
        <w:tc>
          <w:tcPr/>
          <w:p>
            <w:pPr>
              <w:pStyle w:val="Compact"/>
              <w:jc w:val="right"/>
            </w:pPr>
            <m:oMath>
              <m:r>
                <m:t>17.70</m:t>
              </m:r>
              <m:r>
                <m:rPr>
                  <m:sty m:val="p"/>
                </m:rPr>
                <m:t>–</m:t>
              </m:r>
            </m:oMath>
            <w:r>
              <w:rPr>
                <w:b/>
                <w:bCs/>
              </w:rPr>
              <w:t xml:space="preserve">18.35</w:t>
            </w:r>
          </w:p>
        </w:tc>
      </w:tr>
      <w:tr>
        <w:tc>
          <w:tcPr/>
          <w:p>
            <w:pPr>
              <w:pStyle w:val="Compact"/>
            </w:pPr>
            <w:r>
              <w:t xml:space="preserve">Free cash flow</w:t>
            </w:r>
          </w:p>
        </w:tc>
        <w:tc>
          <w:tcPr/>
          <w:p>
            <w:pPr>
              <w:pStyle w:val="Compact"/>
              <w:jc w:val="right"/>
            </w:pPr>
            <m:oMath>
              <m:r>
                <m:t>1.24</m:t>
              </m:r>
              <m:r>
                <m:t>B</m:t>
              </m:r>
              <m:r>
                <m:rPr>
                  <m:sty m:val="p"/>
                </m:rPr>
                <m:t>–</m:t>
              </m:r>
            </m:oMath>
            <w:r>
              <w:rPr>
                <w:b/>
                <w:bCs/>
              </w:rPr>
              <w:t xml:space="preserve">1.36B</w:t>
            </w:r>
          </w:p>
        </w:tc>
      </w:tr>
    </w:tbl>
    <w:p>
      <w:pPr>
        <w:pStyle w:val="BodyText"/>
      </w:pPr>
      <w:r>
        <w:t xml:space="preserve">Labcorp raised both revenue and EPS guidance after Q1, when it delivered 5.8% revenue growth, 10.6% adjusted-EPS growth and 30 basis points of adjusted operating-margin expansion. (</w:t>
      </w:r>
      <w:hyperlink r:id="rId12">
        <w:r>
          <w:rPr>
            <w:rStyle w:val="Hyperlink"/>
          </w:rPr>
          <w:t xml:space="preserve">ir.labcorp.com</w:t>
        </w:r>
      </w:hyperlink>
      <w:r>
        <w:t xml:space="preserve">)</w:t>
      </w:r>
    </w:p>
    <w:p>
      <w:pPr>
        <w:pStyle w:val="BodyText"/>
      </w:pPr>
      <w:r>
        <w:t xml:space="preserve">Importantly, Street estimates now sit almost exactly at the midpoint of management's guidance. That makes the guidance update—and not merely the reported quarter—the probable driver of the stock reaction.</w:t>
      </w:r>
    </w:p>
    <w:p>
      <w:r>
        <w:pict>
          <v:rect style="width:0;height:1.5pt" o:hralign="center" o:hrstd="t" o:hr="t"/>
        </w:pict>
      </w:r>
    </w:p>
    <w:bookmarkEnd w:id="13"/>
    <w:bookmarkEnd w:id="14"/>
    <w:bookmarkStart w:id="15" w:name="the-five-most-important-issues"/>
    <w:p>
      <w:pPr>
        <w:pStyle w:val="Heading2"/>
      </w:pPr>
      <w:r>
        <w:t xml:space="preserve">The five most important issues</w:t>
      </w:r>
    </w:p>
    <w:bookmarkEnd w:id="15"/>
    <w:bookmarkStart w:id="17" w:name="X99ac5e5e6c354c832fb636b8dcc47526326da49"/>
    <w:p>
      <w:pPr>
        <w:pStyle w:val="Heading2"/>
      </w:pPr>
      <w:r>
        <w:t xml:space="preserve">1. Diagnostics volume, mix and margin</w:t>
      </w:r>
    </w:p>
    <w:p>
      <w:pPr>
        <w:pStyle w:val="FirstParagraph"/>
      </w:pPr>
      <w:r>
        <w:t xml:space="preserve">Diagnostics is the central part of the thesis. In Q1:</w:t>
      </w:r>
    </w:p>
    <w:p>
      <w:pPr>
        <w:pStyle w:val="Compact"/>
        <w:numPr>
          <w:ilvl w:val="0"/>
          <w:numId w:val="1002"/>
        </w:numPr>
      </w:pPr>
      <w:r>
        <w:t xml:space="preserve">Revenue increased 5.0%;</w:t>
      </w:r>
    </w:p>
    <w:p>
      <w:pPr>
        <w:pStyle w:val="Compact"/>
        <w:numPr>
          <w:ilvl w:val="0"/>
          <w:numId w:val="1002"/>
        </w:numPr>
      </w:pPr>
      <w:r>
        <w:t xml:space="preserve">Organic revenue increased 2.9%;</w:t>
      </w:r>
    </w:p>
    <w:p>
      <w:pPr>
        <w:pStyle w:val="Compact"/>
        <w:numPr>
          <w:ilvl w:val="0"/>
          <w:numId w:val="1002"/>
        </w:numPr>
      </w:pPr>
      <w:r>
        <w:t xml:space="preserve">Organic volume increased 1.1%, or closer to 2% excluding adverse weather;</w:t>
      </w:r>
    </w:p>
    <w:p>
      <w:pPr>
        <w:pStyle w:val="Compact"/>
        <w:numPr>
          <w:ilvl w:val="0"/>
          <w:numId w:val="1002"/>
        </w:numPr>
      </w:pPr>
      <w:r>
        <w:t xml:space="preserve">Organic price/mix contributed 1.8%;</w:t>
      </w:r>
    </w:p>
    <w:p>
      <w:pPr>
        <w:pStyle w:val="Compact"/>
        <w:numPr>
          <w:ilvl w:val="0"/>
          <w:numId w:val="1002"/>
        </w:numPr>
      </w:pPr>
      <w:r>
        <w:t xml:space="preserve">Adjusted operating margin expanded 30 basis points to 16.6%.</w:t>
      </w:r>
    </w:p>
    <w:p>
      <w:pPr>
        <w:pStyle w:val="FirstParagraph"/>
      </w:pPr>
      <w:r>
        <w:t xml:space="preserve">Management subsequently said that it expects full-year Diagnostics growth to be split roughly evenly between volume and price/mix. Unit reimbursement has been broadly flat, so the favorable price/mix contribution is primarily coming from:</w:t>
      </w:r>
    </w:p>
    <w:p>
      <w:pPr>
        <w:pStyle w:val="Compact"/>
        <w:numPr>
          <w:ilvl w:val="0"/>
          <w:numId w:val="1003"/>
        </w:numPr>
      </w:pPr>
      <w:r>
        <w:t xml:space="preserve">More tests per requisition;</w:t>
      </w:r>
    </w:p>
    <w:p>
      <w:pPr>
        <w:pStyle w:val="Compact"/>
        <w:numPr>
          <w:ilvl w:val="0"/>
          <w:numId w:val="1003"/>
        </w:numPr>
      </w:pPr>
      <w:r>
        <w:t xml:space="preserve">Faster growth in specialty and esoteric testing;</w:t>
      </w:r>
    </w:p>
    <w:p>
      <w:pPr>
        <w:pStyle w:val="Compact"/>
        <w:numPr>
          <w:ilvl w:val="0"/>
          <w:numId w:val="1003"/>
        </w:numPr>
      </w:pPr>
      <w:r>
        <w:t xml:space="preserve">Consumer-initiated testing; and</w:t>
      </w:r>
    </w:p>
    <w:p>
      <w:pPr>
        <w:pStyle w:val="Compact"/>
        <w:numPr>
          <w:ilvl w:val="0"/>
          <w:numId w:val="1003"/>
        </w:numPr>
      </w:pPr>
      <w:r>
        <w:t xml:space="preserve">A richer overall test mix.</w:t>
      </w:r>
    </w:p>
    <w:p>
      <w:pPr>
        <w:pStyle w:val="FirstParagraph"/>
      </w:pPr>
      <w:r>
        <w:t xml:space="preserve">Esoteric testing now represents approximately 40% of Labcorp's Diagnostics revenue, and management expects oncology, neurology, women's health and autoimmune testing to grow two to three times faster than the broader diagnostics market.</w:t>
      </w:r>
    </w:p>
    <w:bookmarkStart w:id="16" w:name="what-to-watch"/>
    <w:p>
      <w:pPr>
        <w:pStyle w:val="Heading3"/>
      </w:pPr>
      <w:r>
        <w:t xml:space="preserve">What to watch</w:t>
      </w:r>
    </w:p>
    <w:p>
      <w:pPr>
        <w:pStyle w:val="Compact"/>
        <w:numPr>
          <w:ilvl w:val="0"/>
          <w:numId w:val="1004"/>
        </w:numPr>
      </w:pPr>
      <w:r>
        <w:rPr>
          <w:b/>
          <w:bCs/>
        </w:rPr>
        <w:t xml:space="preserve">Organic requisition growth:</w:t>
      </w:r>
      <w:r>
        <w:t xml:space="preserve"> </w:t>
      </w:r>
      <w:r>
        <w:t xml:space="preserve">A normalized result near or above 2% would confirm that Q1's weakness was primarily weather-related.</w:t>
      </w:r>
    </w:p>
    <w:p>
      <w:pPr>
        <w:pStyle w:val="Compact"/>
        <w:numPr>
          <w:ilvl w:val="0"/>
          <w:numId w:val="1004"/>
        </w:numPr>
      </w:pPr>
      <w:r>
        <w:rPr>
          <w:b/>
          <w:bCs/>
        </w:rPr>
        <w:t xml:space="preserve">Organic price/mix:</w:t>
      </w:r>
      <w:r>
        <w:t xml:space="preserve"> </w:t>
      </w:r>
      <w:r>
        <w:t xml:space="preserve">Around 2% would support management's full-year framework.</w:t>
      </w:r>
    </w:p>
    <w:p>
      <w:pPr>
        <w:pStyle w:val="Compact"/>
        <w:numPr>
          <w:ilvl w:val="0"/>
          <w:numId w:val="1004"/>
        </w:numPr>
      </w:pPr>
      <w:r>
        <w:rPr>
          <w:b/>
          <w:bCs/>
        </w:rPr>
        <w:t xml:space="preserve">Tests per requisition:</w:t>
      </w:r>
      <w:r>
        <w:t xml:space="preserve"> </w:t>
      </w:r>
      <w:r>
        <w:t xml:space="preserve">This is increasingly important because incremental tests on an existing accession carry attractive economics.</w:t>
      </w:r>
    </w:p>
    <w:p>
      <w:pPr>
        <w:pStyle w:val="Compact"/>
        <w:numPr>
          <w:ilvl w:val="0"/>
          <w:numId w:val="1004"/>
        </w:numPr>
      </w:pPr>
      <w:r>
        <w:rPr>
          <w:b/>
          <w:bCs/>
        </w:rPr>
        <w:t xml:space="preserve">Diagnostics margin:</w:t>
      </w:r>
      <w:r>
        <w:t xml:space="preserve"> </w:t>
      </w:r>
      <w:r>
        <w:t xml:space="preserve">The best result would combine organic growth with year-over-year margin expansion despite wage and fuel pressure.</w:t>
      </w:r>
    </w:p>
    <w:p>
      <w:pPr>
        <w:pStyle w:val="FirstParagraph"/>
      </w:pPr>
      <w:r>
        <w:t xml:space="preserve">A revenue beat driven mostly by acquisitions would be less compelling than one driven by organic volume and favorable specialty mix.</w:t>
      </w:r>
    </w:p>
    <w:p>
      <w:r>
        <w:pict>
          <v:rect style="width:0;height:1.5pt" o:hralign="center" o:hrstd="t" o:hr="t"/>
        </w:pict>
      </w:r>
    </w:p>
    <w:bookmarkEnd w:id="16"/>
    <w:bookmarkEnd w:id="17"/>
    <w:bookmarkStart w:id="19" w:name="X735ec3eb87c42ae8f9da4e71d0f4d8171dc7902"/>
    <w:p>
      <w:pPr>
        <w:pStyle w:val="Heading2"/>
      </w:pPr>
      <w:r>
        <w:t xml:space="preserve">2. The Quest read-through is favorable—but not fully comparable</w:t>
      </w:r>
    </w:p>
    <w:p>
      <w:pPr>
        <w:pStyle w:val="FirstParagraph"/>
      </w:pPr>
      <w:r>
        <w:t xml:space="preserve">Quest reported a strong Q2 one week before Labcorp:</w:t>
      </w:r>
    </w:p>
    <w:p>
      <w:pPr>
        <w:pStyle w:val="Compact"/>
        <w:numPr>
          <w:ilvl w:val="0"/>
          <w:numId w:val="1005"/>
        </w:numPr>
      </w:pPr>
      <w:r>
        <w:t xml:space="preserve">Revenue of $3.04 billion, up 10.2%;</w:t>
      </w:r>
    </w:p>
    <w:p>
      <w:pPr>
        <w:pStyle w:val="Compact"/>
        <w:numPr>
          <w:ilvl w:val="0"/>
          <w:numId w:val="1005"/>
        </w:numPr>
      </w:pPr>
      <w:r>
        <w:t xml:space="preserve">Adjusted EPS of $3.12, up 19.1%;</w:t>
      </w:r>
    </w:p>
    <w:p>
      <w:pPr>
        <w:pStyle w:val="Compact"/>
        <w:numPr>
          <w:ilvl w:val="0"/>
          <w:numId w:val="1005"/>
        </w:numPr>
      </w:pPr>
      <w:r>
        <w:t xml:space="preserve">Broad demand across physician, hospital and consumer channels; and</w:t>
      </w:r>
    </w:p>
    <w:p>
      <w:pPr>
        <w:pStyle w:val="Compact"/>
        <w:numPr>
          <w:ilvl w:val="0"/>
          <w:numId w:val="1005"/>
        </w:numPr>
      </w:pPr>
      <w:r>
        <w:t xml:space="preserve">Another increase to full-year revenue and EPS guidance. (</w:t>
      </w:r>
      <w:hyperlink r:id="rId18">
        <w:r>
          <w:rPr>
            <w:rStyle w:val="Hyperlink"/>
          </w:rPr>
          <w:t xml:space="preserve">newsroom.questdiagnostics.com</w:t>
        </w:r>
      </w:hyperlink>
      <w:r>
        <w:t xml:space="preserve">)</w:t>
      </w:r>
    </w:p>
    <w:p>
      <w:pPr>
        <w:pStyle w:val="FirstParagraph"/>
      </w:pPr>
      <w:r>
        <w:t xml:space="preserve">Quest's results suggest that the underlying laboratory utilization environment remains healthy, especially in:</w:t>
      </w:r>
    </w:p>
    <w:p>
      <w:pPr>
        <w:pStyle w:val="Compact"/>
        <w:numPr>
          <w:ilvl w:val="0"/>
          <w:numId w:val="1006"/>
        </w:numPr>
      </w:pPr>
      <w:r>
        <w:t xml:space="preserve">Physician testing;</w:t>
      </w:r>
    </w:p>
    <w:p>
      <w:pPr>
        <w:pStyle w:val="Compact"/>
        <w:numPr>
          <w:ilvl w:val="0"/>
          <w:numId w:val="1006"/>
        </w:numPr>
      </w:pPr>
      <w:r>
        <w:t xml:space="preserve">Hospital and health-system partnerships;</w:t>
      </w:r>
    </w:p>
    <w:p>
      <w:pPr>
        <w:pStyle w:val="Compact"/>
        <w:numPr>
          <w:ilvl w:val="0"/>
          <w:numId w:val="1006"/>
        </w:numPr>
      </w:pPr>
      <w:r>
        <w:t xml:space="preserve">Consumer health;</w:t>
      </w:r>
    </w:p>
    <w:p>
      <w:pPr>
        <w:pStyle w:val="Compact"/>
        <w:numPr>
          <w:ilvl w:val="0"/>
          <w:numId w:val="1006"/>
        </w:numPr>
      </w:pPr>
      <w:r>
        <w:t xml:space="preserve">Alzheimer's and other advanced diagnostics; and</w:t>
      </w:r>
    </w:p>
    <w:p>
      <w:pPr>
        <w:pStyle w:val="Compact"/>
        <w:numPr>
          <w:ilvl w:val="0"/>
          <w:numId w:val="1006"/>
        </w:numPr>
      </w:pPr>
      <w:r>
        <w:t xml:space="preserve">Higher tests per requisition.</w:t>
      </w:r>
    </w:p>
    <w:p>
      <w:pPr>
        <w:pStyle w:val="FirstParagraph"/>
      </w:pPr>
      <w:r>
        <w:t xml:space="preserve">However, Quest's headline growth is not directly transferable to Labcorp. A substantial part of Quest's volume increase came from the ramp of its Corewell Health and Fresenius relationships. Excluding those programs, Quest's underlying volume growth was still a healthy approximately 4%.</w:t>
      </w:r>
    </w:p>
    <w:p>
      <w:pPr>
        <w:pStyle w:val="BodyText"/>
      </w:pPr>
      <w:r>
        <w:t xml:space="preserve">The most relevant read-through is therefore not Quest's 10% organic revenue growth itself, but the broader evidence that</w:t>
      </w:r>
      <w:r>
        <w:t xml:space="preserve"> </w:t>
      </w:r>
      <w:r>
        <w:rPr>
          <w:b/>
          <w:bCs/>
        </w:rPr>
        <w:t xml:space="preserve">core utilization, specialty-testing demand and test intensity remain strong</w:t>
      </w:r>
      <w:r>
        <w:t xml:space="preserve">.</w:t>
      </w:r>
    </w:p>
    <w:p>
      <w:r>
        <w:pict>
          <v:rect style="width:0;height:1.5pt" o:hralign="center" o:hrstd="t" o:hr="t"/>
        </w:pict>
      </w:r>
    </w:p>
    <w:bookmarkEnd w:id="19"/>
    <w:bookmarkStart w:id="21" w:name="X841f9194c670da2aacd2ac1dd75f407fd141b1c"/>
    <w:p>
      <w:pPr>
        <w:pStyle w:val="Heading2"/>
      </w:pPr>
      <w:r>
        <w:t xml:space="preserve">3. Biopharma Laboratory Services: bookings must improve</w:t>
      </w:r>
    </w:p>
    <w:p>
      <w:pPr>
        <w:pStyle w:val="FirstParagraph"/>
      </w:pPr>
      <w:r>
        <w:t xml:space="preserve">Biopharma Laboratory Services was mixed in Q1:</w:t>
      </w:r>
    </w:p>
    <w:p>
      <w:pPr>
        <w:pStyle w:val="Compact"/>
        <w:numPr>
          <w:ilvl w:val="0"/>
          <w:numId w:val="1007"/>
        </w:numPr>
      </w:pPr>
      <w:r>
        <w:t xml:space="preserve">Revenue increased 8.2%, including a significant foreign-exchange benefit;</w:t>
      </w:r>
    </w:p>
    <w:p>
      <w:pPr>
        <w:pStyle w:val="Compact"/>
        <w:numPr>
          <w:ilvl w:val="0"/>
          <w:numId w:val="1007"/>
        </w:numPr>
      </w:pPr>
      <w:r>
        <w:t xml:space="preserve">Organic growth was 3.7%;</w:t>
      </w:r>
    </w:p>
    <w:p>
      <w:pPr>
        <w:pStyle w:val="Compact"/>
        <w:numPr>
          <w:ilvl w:val="0"/>
          <w:numId w:val="1007"/>
        </w:numPr>
      </w:pPr>
      <w:r>
        <w:t xml:space="preserve">Central Laboratory revenue grew 4.9% organically at constant currency;</w:t>
      </w:r>
    </w:p>
    <w:p>
      <w:pPr>
        <w:pStyle w:val="Compact"/>
        <w:numPr>
          <w:ilvl w:val="0"/>
          <w:numId w:val="1007"/>
        </w:numPr>
      </w:pPr>
      <w:r>
        <w:t xml:space="preserve">Early Development was approximately flat;</w:t>
      </w:r>
    </w:p>
    <w:p>
      <w:pPr>
        <w:pStyle w:val="Compact"/>
        <w:numPr>
          <w:ilvl w:val="0"/>
          <w:numId w:val="1007"/>
        </w:numPr>
      </w:pPr>
      <w:r>
        <w:t xml:space="preserve">Segment margin expanded 60 basis points to 15.5%;</w:t>
      </w:r>
    </w:p>
    <w:p>
      <w:pPr>
        <w:pStyle w:val="Compact"/>
        <w:numPr>
          <w:ilvl w:val="0"/>
          <w:numId w:val="1007"/>
        </w:numPr>
      </w:pPr>
      <w:r>
        <w:t xml:space="preserve">Trailing-12-month book-to-bill was 1.04; but</w:t>
      </w:r>
    </w:p>
    <w:p>
      <w:pPr>
        <w:pStyle w:val="Compact"/>
        <w:numPr>
          <w:ilvl w:val="0"/>
          <w:numId w:val="1007"/>
        </w:numPr>
      </w:pPr>
      <w:r>
        <w:t xml:space="preserve">Quarterly book-to-bill was only 0.94.</w:t>
      </w:r>
    </w:p>
    <w:p>
      <w:pPr>
        <w:pStyle w:val="FirstParagraph"/>
      </w:pPr>
      <w:r>
        <w:t xml:space="preserve">Management characterized the weak quarterly booking result as timing-related and explicitly forecast sequential improvement in Q2. It also pointed to a healthy request-for-proposal pipeline and favorable win rates.</w:t>
      </w:r>
    </w:p>
    <w:bookmarkStart w:id="20" w:name="the-key-q2-numbers"/>
    <w:p>
      <w:pPr>
        <w:pStyle w:val="Heading3"/>
      </w:pPr>
      <w:r>
        <w:t xml:space="preserve">The key Q2 numbers</w:t>
      </w:r>
    </w:p>
    <w:p>
      <w:pPr>
        <w:pStyle w:val="FirstParagraph"/>
      </w:pPr>
      <w:r>
        <w:t xml:space="preserve">Investors should focus on:</w:t>
      </w:r>
    </w:p>
    <w:p>
      <w:pPr>
        <w:pStyle w:val="Compact"/>
        <w:numPr>
          <w:ilvl w:val="0"/>
          <w:numId w:val="1008"/>
        </w:numPr>
      </w:pPr>
      <w:r>
        <w:rPr>
          <w:b/>
          <w:bCs/>
        </w:rPr>
        <w:t xml:space="preserve">Quarterly book-to-bill:</w:t>
      </w:r>
      <w:r>
        <w:t xml:space="preserve"> </w:t>
      </w:r>
      <w:r>
        <w:t xml:space="preserve">Ideally back above 1.0;</w:t>
      </w:r>
    </w:p>
    <w:p>
      <w:pPr>
        <w:pStyle w:val="Compact"/>
        <w:numPr>
          <w:ilvl w:val="0"/>
          <w:numId w:val="1008"/>
        </w:numPr>
      </w:pPr>
      <w:r>
        <w:rPr>
          <w:b/>
          <w:bCs/>
        </w:rPr>
        <w:t xml:space="preserve">Trailing-12-month book-to-bill:</w:t>
      </w:r>
      <w:r>
        <w:t xml:space="preserve"> </w:t>
      </w:r>
      <w:r>
        <w:t xml:space="preserve">Stability around or above 1.0;</w:t>
      </w:r>
    </w:p>
    <w:p>
      <w:pPr>
        <w:pStyle w:val="Compact"/>
        <w:numPr>
          <w:ilvl w:val="0"/>
          <w:numId w:val="1008"/>
        </w:numPr>
      </w:pPr>
      <w:r>
        <w:rPr>
          <w:b/>
          <w:bCs/>
        </w:rPr>
        <w:t xml:space="preserve">Backlog:</w:t>
      </w:r>
      <w:r>
        <w:t xml:space="preserve"> </w:t>
      </w:r>
      <w:r>
        <w:t xml:space="preserve">Q1 backlog was $8.64 billion;</w:t>
      </w:r>
    </w:p>
    <w:p>
      <w:pPr>
        <w:pStyle w:val="Compact"/>
        <w:numPr>
          <w:ilvl w:val="0"/>
          <w:numId w:val="1008"/>
        </w:numPr>
      </w:pPr>
      <w:r>
        <w:rPr>
          <w:b/>
          <w:bCs/>
        </w:rPr>
        <w:t xml:space="preserve">Next-12-month backlog conversion:</w:t>
      </w:r>
      <w:r>
        <w:t xml:space="preserve"> </w:t>
      </w:r>
      <w:r>
        <w:t xml:space="preserve">Q1 was $2.69 billion;</w:t>
      </w:r>
    </w:p>
    <w:p>
      <w:pPr>
        <w:pStyle w:val="Compact"/>
        <w:numPr>
          <w:ilvl w:val="0"/>
          <w:numId w:val="1008"/>
        </w:numPr>
      </w:pPr>
      <w:r>
        <w:rPr>
          <w:b/>
          <w:bCs/>
        </w:rPr>
        <w:t xml:space="preserve">Central Lab organic growth:</w:t>
      </w:r>
      <w:r>
        <w:t xml:space="preserve"> </w:t>
      </w:r>
      <w:r>
        <w:t xml:space="preserve">Management's full-year framework remains mid-single digits; and</w:t>
      </w:r>
    </w:p>
    <w:p>
      <w:pPr>
        <w:pStyle w:val="Compact"/>
        <w:numPr>
          <w:ilvl w:val="0"/>
          <w:numId w:val="1008"/>
        </w:numPr>
      </w:pPr>
      <w:r>
        <w:rPr>
          <w:b/>
          <w:bCs/>
        </w:rPr>
        <w:t xml:space="preserve">Early Development restructuring:</w:t>
      </w:r>
      <w:r>
        <w:t xml:space="preserve"> </w:t>
      </w:r>
      <w:r>
        <w:t xml:space="preserve">Management expected the strategic actions to be largely completed by the end of Q2.</w:t>
      </w:r>
    </w:p>
    <w:p>
      <w:pPr>
        <w:pStyle w:val="FirstParagraph"/>
      </w:pPr>
      <w:r>
        <w:t xml:space="preserve">A book-to-bill result below 1.0 for a second consecutive quarter would raise questions about the durability of Central Lab growth, even if current-quarter revenue remains sound. Conversely, improving bookings plus another quarter of margin expansion could materially strengthen the longer-term BLS thesis.</w:t>
      </w:r>
    </w:p>
    <w:p>
      <w:r>
        <w:pict>
          <v:rect style="width:0;height:1.5pt" o:hralign="center" o:hrstd="t" o:hr="t"/>
        </w:pict>
      </w:r>
    </w:p>
    <w:bookmarkEnd w:id="20"/>
    <w:bookmarkEnd w:id="21"/>
    <w:bookmarkStart w:id="23" w:name="Xec99e4b693c217f749fd32f7869c9e2b5f63435"/>
    <w:p>
      <w:pPr>
        <w:pStyle w:val="Heading2"/>
      </w:pPr>
      <w:r>
        <w:t xml:space="preserve">4. Full-year guidance probably needs to move higher</w:t>
      </w:r>
    </w:p>
    <w:p>
      <w:pPr>
        <w:pStyle w:val="FirstParagraph"/>
      </w:pPr>
      <w:r>
        <w:t xml:space="preserve">Labcorp's Q1 guidance increase was relatively measured:</w:t>
      </w:r>
    </w:p>
    <w:p>
      <w:pPr>
        <w:pStyle w:val="Compact"/>
        <w:numPr>
          <w:ilvl w:val="0"/>
          <w:numId w:val="1009"/>
        </w:numPr>
      </w:pPr>
      <w:r>
        <w:t xml:space="preserve">Revenue midpoint increased by approximately $30 million;</w:t>
      </w:r>
    </w:p>
    <w:p>
      <w:pPr>
        <w:pStyle w:val="Compact"/>
        <w:numPr>
          <w:ilvl w:val="0"/>
          <w:numId w:val="1009"/>
        </w:numPr>
      </w:pPr>
      <w:r>
        <w:t xml:space="preserve">Adjusted-EPS midpoint increased by $0.13.</w:t>
      </w:r>
    </w:p>
    <w:p>
      <w:pPr>
        <w:pStyle w:val="FirstParagraph"/>
      </w:pPr>
      <w:r>
        <w:t xml:space="preserve">Since then, the industry utilization backdrop has remained favorable and Quest has delivered a large beat and guidance increase. That creates an elevated comparison.</w:t>
      </w:r>
    </w:p>
    <w:bookmarkStart w:id="22" w:name="likely-investor-interpretation"/>
    <w:p>
      <w:pPr>
        <w:pStyle w:val="Heading3"/>
      </w:pPr>
      <w:r>
        <w:t xml:space="preserve">Likely investor interpretation</w:t>
      </w:r>
    </w:p>
    <w:p>
      <w:pPr>
        <w:pStyle w:val="Compact"/>
        <w:numPr>
          <w:ilvl w:val="0"/>
          <w:numId w:val="1010"/>
        </w:numPr>
      </w:pPr>
      <w:r>
        <w:rPr>
          <w:b/>
          <w:bCs/>
        </w:rPr>
        <w:t xml:space="preserve">Guidance reiterated:</w:t>
      </w:r>
      <w:r>
        <w:t xml:space="preserve"> </w:t>
      </w:r>
      <w:r>
        <w:t xml:space="preserve">Potentially disappointing unless management highlights meaningful conservatism or a strong Q3 exit rate.</w:t>
      </w:r>
    </w:p>
    <w:p>
      <w:pPr>
        <w:pStyle w:val="Compact"/>
        <w:numPr>
          <w:ilvl w:val="0"/>
          <w:numId w:val="1010"/>
        </w:numPr>
      </w:pPr>
      <w:r>
        <w:rPr>
          <w:b/>
          <w:bCs/>
        </w:rPr>
        <w:t xml:space="preserve">Range narrowed around the current midpoint:</w:t>
      </w:r>
      <w:r>
        <w:t xml:space="preserve"> </w:t>
      </w:r>
      <w:r>
        <w:t xml:space="preserve">Probably neutral.</w:t>
      </w:r>
    </w:p>
    <w:p>
      <w:pPr>
        <w:pStyle w:val="Compact"/>
        <w:numPr>
          <w:ilvl w:val="0"/>
          <w:numId w:val="1010"/>
        </w:numPr>
      </w:pPr>
      <w:r>
        <w:rPr>
          <w:b/>
          <w:bCs/>
        </w:rPr>
        <w:t xml:space="preserve">EPS midpoint raised by roughly</w:t>
      </w:r>
      <w:r>
        <w:rPr>
          <w:b/>
          <w:bCs/>
        </w:rPr>
        <w:t xml:space="preserve"> </w:t>
      </w:r>
      <m:oMath>
        <m:r>
          <m:t>0.15</m:t>
        </m:r>
        <m:r>
          <m:rPr>
            <m:sty m:val="p"/>
          </m:rPr>
          <m:t>–</m:t>
        </m:r>
      </m:oMath>
      <w:r>
        <w:rPr>
          <w:b/>
          <w:bCs/>
        </w:rPr>
        <w:t xml:space="preserve">0.25:</w:t>
      </w:r>
      <w:r>
        <w:t xml:space="preserve"> </w:t>
      </w:r>
      <w:r>
        <w:t xml:space="preserve">Constructive, though perhaps already expected.</w:t>
      </w:r>
    </w:p>
    <w:p>
      <w:pPr>
        <w:pStyle w:val="Compact"/>
        <w:numPr>
          <w:ilvl w:val="0"/>
          <w:numId w:val="1010"/>
        </w:numPr>
      </w:pPr>
      <w:r>
        <w:rPr>
          <w:b/>
          <w:bCs/>
        </w:rPr>
        <w:t xml:space="preserve">High end raised above $18.35 with stronger revenue guidance:</w:t>
      </w:r>
      <w:r>
        <w:t xml:space="preserve"> </w:t>
      </w:r>
      <w:r>
        <w:t xml:space="preserve">Clearly positive.</w:t>
      </w:r>
    </w:p>
    <w:p>
      <w:pPr>
        <w:pStyle w:val="Compact"/>
        <w:numPr>
          <w:ilvl w:val="0"/>
          <w:numId w:val="1010"/>
        </w:numPr>
      </w:pPr>
      <w:r>
        <w:rPr>
          <w:b/>
          <w:bCs/>
        </w:rPr>
        <w:t xml:space="preserve">Free-cash-flow increase:</w:t>
      </w:r>
      <w:r>
        <w:t xml:space="preserve"> </w:t>
      </w:r>
      <w:r>
        <w:t xml:space="preserve">An additional sign that earnings quality and working-capital execution are improving.</w:t>
      </w:r>
    </w:p>
    <w:p>
      <w:pPr>
        <w:pStyle w:val="FirstParagraph"/>
      </w:pPr>
      <w:r>
        <w:t xml:space="preserve">Current consensus of approximately $18.00 is already near the guidance midpoint of $18.03. The stock's recent appreciation suggests the informal buy-side bar may be higher than published consensus.</w:t>
      </w:r>
    </w:p>
    <w:p>
      <w:r>
        <w:pict>
          <v:rect style="width:0;height:1.5pt" o:hralign="center" o:hrstd="t" o:hr="t"/>
        </w:pict>
      </w:r>
    </w:p>
    <w:bookmarkEnd w:id="22"/>
    <w:bookmarkEnd w:id="23"/>
    <w:bookmarkStart w:id="26" w:name="X8a0c7fea55ac101469189c27d44cbf6ef5d5484"/>
    <w:p>
      <w:pPr>
        <w:pStyle w:val="Heading2"/>
      </w:pPr>
      <w:r>
        <w:t xml:space="preserve">5. PAMA and 2027 reimbursement remain the key external risk</w:t>
      </w:r>
    </w:p>
    <w:p>
      <w:pPr>
        <w:pStyle w:val="FirstParagraph"/>
      </w:pPr>
      <w:r>
        <w:t xml:space="preserve">The Q2 report itself should not be materially affected by PAMA, but management's commentary could influence the stock.</w:t>
      </w:r>
    </w:p>
    <w:p>
      <w:pPr>
        <w:pStyle w:val="BodyText"/>
      </w:pPr>
      <w:r>
        <w:t xml:space="preserve">CMS's current laboratory-data reporting period ends</w:t>
      </w:r>
      <w:r>
        <w:t xml:space="preserve"> </w:t>
      </w:r>
      <w:r>
        <w:rPr>
          <w:b/>
          <w:bCs/>
        </w:rPr>
        <w:t xml:space="preserve">July 31, 2026</w:t>
      </w:r>
      <w:r>
        <w:t xml:space="preserve">. The reported private-payor data will be used to establish Medicare Clinical Laboratory Fee Schedule rates for 2027–2029. Under current law, payment reductions can reach as much as 15% per year for affected tests beginning January 1, 2027. (</w:t>
      </w:r>
      <w:hyperlink r:id="rId24">
        <w:r>
          <w:rPr>
            <w:rStyle w:val="Hyperlink"/>
          </w:rPr>
          <w:t xml:space="preserve">cms.gov</w:t>
        </w:r>
      </w:hyperlink>
      <w:r>
        <w:t xml:space="preserve">)</w:t>
      </w:r>
    </w:p>
    <w:p>
      <w:pPr>
        <w:pStyle w:val="BodyText"/>
      </w:pPr>
      <w:r>
        <w:t xml:space="preserve">Labcorp supports the RESULTS Act, which would reform the data-collection methodology. The economic outcome under existing PAMA rules will depend heavily on how many hospital and other laboratories submit data. Broader participation should produce a more representative market-rate sample and potentially mitigate the pressure on large national laboratories.</w:t>
      </w:r>
    </w:p>
    <w:bookmarkStart w:id="25" w:name="Xe615b07d1abe9cf622abcd4deb74f90d43fd924"/>
    <w:p>
      <w:pPr>
        <w:pStyle w:val="Heading3"/>
      </w:pPr>
      <w:r>
        <w:t xml:space="preserve">Questions management is likely to receive</w:t>
      </w:r>
    </w:p>
    <w:p>
      <w:pPr>
        <w:pStyle w:val="Compact"/>
        <w:numPr>
          <w:ilvl w:val="0"/>
          <w:numId w:val="1011"/>
        </w:numPr>
      </w:pPr>
      <w:r>
        <w:t xml:space="preserve">How many hospital laboratories appear to be participating?</w:t>
      </w:r>
    </w:p>
    <w:p>
      <w:pPr>
        <w:pStyle w:val="Compact"/>
        <w:numPr>
          <w:ilvl w:val="0"/>
          <w:numId w:val="1011"/>
        </w:numPr>
      </w:pPr>
      <w:r>
        <w:t xml:space="preserve">When does management expect visibility into preliminary 2027 rates?</w:t>
      </w:r>
    </w:p>
    <w:p>
      <w:pPr>
        <w:pStyle w:val="Compact"/>
        <w:numPr>
          <w:ilvl w:val="0"/>
          <w:numId w:val="1011"/>
        </w:numPr>
      </w:pPr>
      <w:r>
        <w:t xml:space="preserve">Has the probability of the RESULTS Act passing changed?</w:t>
      </w:r>
    </w:p>
    <w:p>
      <w:pPr>
        <w:pStyle w:val="Compact"/>
        <w:numPr>
          <w:ilvl w:val="0"/>
          <w:numId w:val="1011"/>
        </w:numPr>
      </w:pPr>
      <w:r>
        <w:t xml:space="preserve">If reimbursement declines in 2027, what cost and productivity offsets are available?</w:t>
      </w:r>
    </w:p>
    <w:p>
      <w:pPr>
        <w:pStyle w:val="Compact"/>
        <w:numPr>
          <w:ilvl w:val="0"/>
          <w:numId w:val="1011"/>
        </w:numPr>
      </w:pPr>
      <w:r>
        <w:t xml:space="preserve">Would lower reimbursement accelerate hospital-outreach transactions?</w:t>
      </w:r>
    </w:p>
    <w:p>
      <w:pPr>
        <w:pStyle w:val="FirstParagraph"/>
      </w:pPr>
      <w:r>
        <w:t xml:space="preserve">PAMA remains more important to the 2027 earnings debate than to the 2026 guidance update.</w:t>
      </w:r>
    </w:p>
    <w:p>
      <w:r>
        <w:pict>
          <v:rect style="width:0;height:1.5pt" o:hralign="center" o:hrstd="t" o:hr="t"/>
        </w:pict>
      </w:r>
    </w:p>
    <w:bookmarkEnd w:id="25"/>
    <w:bookmarkEnd w:id="26"/>
    <w:bookmarkStart w:id="32" w:name="additional-operating-themes"/>
    <w:p>
      <w:pPr>
        <w:pStyle w:val="Heading2"/>
      </w:pPr>
      <w:r>
        <w:t xml:space="preserve">Additional operating themes</w:t>
      </w:r>
    </w:p>
    <w:bookmarkStart w:id="27" w:name="specialty-testing"/>
    <w:p>
      <w:pPr>
        <w:pStyle w:val="Heading3"/>
      </w:pPr>
      <w:r>
        <w:t xml:space="preserve">Specialty testing</w:t>
      </w:r>
    </w:p>
    <w:p>
      <w:pPr>
        <w:pStyle w:val="FirstParagraph"/>
      </w:pPr>
      <w:r>
        <w:t xml:space="preserve">Oncology and neurology remain the most important growth areas. Labcorp has highlighted double-digit growth in Alzheimer's testing, while oncology is benefiting from liquid biopsy, companion diagnostics and minimal residual disease offerings.</w:t>
      </w:r>
    </w:p>
    <w:p>
      <w:pPr>
        <w:pStyle w:val="BodyText"/>
      </w:pPr>
      <w:r>
        <w:t xml:space="preserve">Reimbursement for some newer oncology tests remains underdeveloped. Investors should distinguish between:</w:t>
      </w:r>
    </w:p>
    <w:p>
      <w:pPr>
        <w:pStyle w:val="Compact"/>
        <w:numPr>
          <w:ilvl w:val="0"/>
          <w:numId w:val="1012"/>
        </w:numPr>
      </w:pPr>
      <w:r>
        <w:t xml:space="preserve">Strong test-volume and adoption indicators; and</w:t>
      </w:r>
    </w:p>
    <w:p>
      <w:pPr>
        <w:pStyle w:val="Compact"/>
        <w:numPr>
          <w:ilvl w:val="0"/>
          <w:numId w:val="1012"/>
        </w:numPr>
      </w:pPr>
      <w:r>
        <w:t xml:space="preserve">Near-term revenue contribution after reimbursement and commercial investment.</w:t>
      </w:r>
    </w:p>
    <w:bookmarkEnd w:id="27"/>
    <w:bookmarkStart w:id="29" w:name="consumer-health"/>
    <w:p>
      <w:pPr>
        <w:pStyle w:val="Heading3"/>
      </w:pPr>
      <w:r>
        <w:t xml:space="preserve">Consumer health</w:t>
      </w:r>
    </w:p>
    <w:p>
      <w:pPr>
        <w:pStyle w:val="FirstParagraph"/>
      </w:pPr>
      <w:r>
        <w:t xml:space="preserve">Labcorp continues to expand Labcorp OnDemand and recently launched MyLabcorp, its AI-enabled consumer application. It also announced:</w:t>
      </w:r>
    </w:p>
    <w:p>
      <w:pPr>
        <w:pStyle w:val="Compact"/>
        <w:numPr>
          <w:ilvl w:val="0"/>
          <w:numId w:val="1013"/>
        </w:numPr>
      </w:pPr>
      <w:r>
        <w:t xml:space="preserve">Nationwide availability of the FDA-approved RNA-based ColoSense at-home colorectal cancer screening test; and</w:t>
      </w:r>
    </w:p>
    <w:p>
      <w:pPr>
        <w:pStyle w:val="Compact"/>
        <w:numPr>
          <w:ilvl w:val="0"/>
          <w:numId w:val="1013"/>
        </w:numPr>
      </w:pPr>
      <w:r>
        <w:t xml:space="preserve">Marker by Labcorp, a direct-to-consumer panel analyzing 163 genes associated with more than 100 medically actionable conditions. (</w:t>
      </w:r>
      <w:hyperlink r:id="rId28">
        <w:r>
          <w:rPr>
            <w:rStyle w:val="Hyperlink"/>
          </w:rPr>
          <w:t xml:space="preserve">labcorp.com</w:t>
        </w:r>
      </w:hyperlink>
      <w:r>
        <w:t xml:space="preserve">)</w:t>
      </w:r>
    </w:p>
    <w:p>
      <w:pPr>
        <w:pStyle w:val="FirstParagraph"/>
      </w:pPr>
      <w:r>
        <w:t xml:space="preserve">These launches are strategically positive, but the near-term earnings contribution is probably modest. More relevant for Q2 is whether management continues to report double-digit Consumer Health growth and constructive unit economics.</w:t>
      </w:r>
    </w:p>
    <w:bookmarkEnd w:id="29"/>
    <w:bookmarkStart w:id="30" w:name="health-system-transactions"/>
    <w:p>
      <w:pPr>
        <w:pStyle w:val="Heading3"/>
      </w:pPr>
      <w:r>
        <w:t xml:space="preserve">Health-system transactions</w:t>
      </w:r>
    </w:p>
    <w:p>
      <w:pPr>
        <w:pStyle w:val="FirstParagraph"/>
      </w:pPr>
      <w:r>
        <w:t xml:space="preserve">Labcorp's health-system and regional-laboratory pipeline remains an important source of inorganic growth. Investors should look for:</w:t>
      </w:r>
    </w:p>
    <w:p>
      <w:pPr>
        <w:pStyle w:val="Compact"/>
        <w:numPr>
          <w:ilvl w:val="0"/>
          <w:numId w:val="1014"/>
        </w:numPr>
      </w:pPr>
      <w:r>
        <w:t xml:space="preserve">Updates on recently closed transactions;</w:t>
      </w:r>
    </w:p>
    <w:p>
      <w:pPr>
        <w:pStyle w:val="Compact"/>
        <w:numPr>
          <w:ilvl w:val="0"/>
          <w:numId w:val="1014"/>
        </w:numPr>
      </w:pPr>
      <w:r>
        <w:t xml:space="preserve">Additional deal announcements;</w:t>
      </w:r>
    </w:p>
    <w:p>
      <w:pPr>
        <w:pStyle w:val="Compact"/>
        <w:numPr>
          <w:ilvl w:val="0"/>
          <w:numId w:val="1014"/>
        </w:numPr>
      </w:pPr>
      <w:r>
        <w:t xml:space="preserve">Integration and synergy commentary; and</w:t>
      </w:r>
    </w:p>
    <w:p>
      <w:pPr>
        <w:pStyle w:val="Compact"/>
        <w:numPr>
          <w:ilvl w:val="0"/>
          <w:numId w:val="1014"/>
        </w:numPr>
      </w:pPr>
      <w:r>
        <w:t xml:space="preserve">Confirmation that acquisitions remain accretive in year one and exceed the cost of capital by year three.</w:t>
      </w:r>
    </w:p>
    <w:bookmarkEnd w:id="30"/>
    <w:bookmarkStart w:id="31" w:name="capital-allocation"/>
    <w:p>
      <w:pPr>
        <w:pStyle w:val="Heading3"/>
      </w:pPr>
      <w:r>
        <w:t xml:space="preserve">Capital allocation</w:t>
      </w:r>
    </w:p>
    <w:p>
      <w:pPr>
        <w:pStyle w:val="FirstParagraph"/>
      </w:pPr>
      <w:r>
        <w:t xml:space="preserve">At the end of Q1, Labcorp had:</w:t>
      </w:r>
    </w:p>
    <w:p>
      <w:pPr>
        <w:pStyle w:val="Compact"/>
        <w:numPr>
          <w:ilvl w:val="0"/>
          <w:numId w:val="1015"/>
        </w:numPr>
      </w:pPr>
      <w:r>
        <w:t xml:space="preserve">$981 million of cash;</w:t>
      </w:r>
    </w:p>
    <w:p>
      <w:pPr>
        <w:pStyle w:val="Compact"/>
        <w:numPr>
          <w:ilvl w:val="0"/>
          <w:numId w:val="1015"/>
        </w:numPr>
      </w:pPr>
      <w:r>
        <w:t xml:space="preserve">$6.33 billion of debt;</w:t>
      </w:r>
    </w:p>
    <w:p>
      <w:pPr>
        <w:pStyle w:val="Compact"/>
        <w:numPr>
          <w:ilvl w:val="0"/>
          <w:numId w:val="1015"/>
        </w:numPr>
      </w:pPr>
      <w:r>
        <w:t xml:space="preserve">$700 million remaining under its repurchase authorization; and</w:t>
      </w:r>
    </w:p>
    <w:p>
      <w:pPr>
        <w:pStyle w:val="Compact"/>
        <w:numPr>
          <w:ilvl w:val="0"/>
          <w:numId w:val="1015"/>
        </w:numPr>
      </w:pPr>
      <w:r>
        <w:t xml:space="preserve">Full-year free-cash-flow guidance centered around $1.30 billion.</w:t>
      </w:r>
    </w:p>
    <w:p>
      <w:pPr>
        <w:pStyle w:val="FirstParagraph"/>
      </w:pPr>
      <w:r>
        <w:t xml:space="preserve">Q2 should provide a cleaner view of cash generation because Q1 is seasonally weak. Share repurchases can provide incremental EPS support, but acquisition activity remains the more strategically important use of capital.</w:t>
      </w:r>
    </w:p>
    <w:p>
      <w:r>
        <w:pict>
          <v:rect style="width:0;height:1.5pt" o:hralign="center" o:hrstd="t" o:hr="t"/>
        </w:pict>
      </w:r>
    </w:p>
    <w:bookmarkEnd w:id="31"/>
    <w:bookmarkEnd w:id="32"/>
    <w:bookmarkStart w:id="36" w:name="what-would-constitute-a-good-report"/>
    <w:p>
      <w:pPr>
        <w:pStyle w:val="Heading2"/>
      </w:pPr>
      <w:r>
        <w:t xml:space="preserve">What would constitute a good report?</w:t>
      </w:r>
    </w:p>
    <w:bookmarkStart w:id="33" w:name="bull-case"/>
    <w:p>
      <w:pPr>
        <w:pStyle w:val="Heading3"/>
      </w:pPr>
      <w:r>
        <w:t xml:space="preserve">Bull case</w:t>
      </w:r>
    </w:p>
    <w:p>
      <w:pPr>
        <w:pStyle w:val="Compact"/>
        <w:numPr>
          <w:ilvl w:val="0"/>
          <w:numId w:val="1016"/>
        </w:numPr>
      </w:pPr>
      <w:r>
        <w:t xml:space="preserve">Revenue above approximately</w:t>
      </w:r>
      <w:r>
        <w:t xml:space="preserve"> </w:t>
      </w:r>
      <w:r>
        <w:rPr>
          <w:b/>
          <w:bCs/>
        </w:rPr>
        <w:t xml:space="preserve">$3.74B</w:t>
      </w:r>
      <w:r>
        <w:t xml:space="preserve">;</w:t>
      </w:r>
    </w:p>
    <w:p>
      <w:pPr>
        <w:pStyle w:val="Compact"/>
        <w:numPr>
          <w:ilvl w:val="0"/>
          <w:numId w:val="1016"/>
        </w:numPr>
      </w:pPr>
      <w:r>
        <w:t xml:space="preserve">Adjusted EPS around</w:t>
      </w:r>
      <w:r>
        <w:t xml:space="preserve"> </w:t>
      </w:r>
      <w:r>
        <w:rPr>
          <w:b/>
          <w:bCs/>
        </w:rPr>
        <w:t xml:space="preserve">$4.90 or better</w:t>
      </w:r>
      <w:r>
        <w:t xml:space="preserve">;</w:t>
      </w:r>
    </w:p>
    <w:p>
      <w:pPr>
        <w:pStyle w:val="Compact"/>
        <w:numPr>
          <w:ilvl w:val="0"/>
          <w:numId w:val="1016"/>
        </w:numPr>
      </w:pPr>
      <w:r>
        <w:t xml:space="preserve">Healthy Diagnostics organic volume and price/mix;</w:t>
      </w:r>
    </w:p>
    <w:p>
      <w:pPr>
        <w:pStyle w:val="Compact"/>
        <w:numPr>
          <w:ilvl w:val="0"/>
          <w:numId w:val="1016"/>
        </w:numPr>
      </w:pPr>
      <w:r>
        <w:t xml:space="preserve">Year-over-year margin expansion in both segments;</w:t>
      </w:r>
    </w:p>
    <w:p>
      <w:pPr>
        <w:pStyle w:val="Compact"/>
        <w:numPr>
          <w:ilvl w:val="0"/>
          <w:numId w:val="1016"/>
        </w:numPr>
      </w:pPr>
      <w:r>
        <w:t xml:space="preserve">BLS quarterly book-to-bill above 1.0;</w:t>
      </w:r>
    </w:p>
    <w:p>
      <w:pPr>
        <w:pStyle w:val="Compact"/>
        <w:numPr>
          <w:ilvl w:val="0"/>
          <w:numId w:val="1016"/>
        </w:numPr>
      </w:pPr>
      <w:r>
        <w:t xml:space="preserve">Raised revenue, EPS and possibly free-cash-flow guidance; and</w:t>
      </w:r>
    </w:p>
    <w:p>
      <w:pPr>
        <w:pStyle w:val="Compact"/>
        <w:numPr>
          <w:ilvl w:val="0"/>
          <w:numId w:val="1016"/>
        </w:numPr>
      </w:pPr>
      <w:r>
        <w:t xml:space="preserve">No deterioration in the ACA or reimbursement outlook.</w:t>
      </w:r>
    </w:p>
    <w:bookmarkEnd w:id="33"/>
    <w:bookmarkStart w:id="34" w:name="base-case"/>
    <w:p>
      <w:pPr>
        <w:pStyle w:val="Heading3"/>
      </w:pPr>
      <w:r>
        <w:t xml:space="preserve">Base case</w:t>
      </w:r>
    </w:p>
    <w:p>
      <w:pPr>
        <w:pStyle w:val="Compact"/>
        <w:numPr>
          <w:ilvl w:val="0"/>
          <w:numId w:val="1017"/>
        </w:numPr>
      </w:pPr>
      <w:r>
        <w:t xml:space="preserve">Revenue close to</w:t>
      </w:r>
      <w:r>
        <w:t xml:space="preserve"> </w:t>
      </w:r>
      <w:r>
        <w:rPr>
          <w:b/>
          <w:bCs/>
        </w:rPr>
        <w:t xml:space="preserve">$3.72B</w:t>
      </w:r>
      <w:r>
        <w:t xml:space="preserve">;</w:t>
      </w:r>
    </w:p>
    <w:p>
      <w:pPr>
        <w:pStyle w:val="Compact"/>
        <w:numPr>
          <w:ilvl w:val="0"/>
          <w:numId w:val="1017"/>
        </w:numPr>
      </w:pPr>
      <w:r>
        <w:t xml:space="preserve">Adjusted EPS of roughly</w:t>
      </w:r>
      <w:r>
        <w:t xml:space="preserve"> </w:t>
      </w:r>
      <m:oMath>
        <m:r>
          <m:t>4.78</m:t>
        </m:r>
        <m:r>
          <m:rPr>
            <m:sty m:val="p"/>
          </m:rPr>
          <m:t>–</m:t>
        </m:r>
      </m:oMath>
      <w:r>
        <w:rPr>
          <w:b/>
          <w:bCs/>
        </w:rPr>
        <w:t xml:space="preserve">4.88</w:t>
      </w:r>
      <w:r>
        <w:t xml:space="preserve">;</w:t>
      </w:r>
    </w:p>
    <w:p>
      <w:pPr>
        <w:pStyle w:val="Compact"/>
        <w:numPr>
          <w:ilvl w:val="0"/>
          <w:numId w:val="1017"/>
        </w:numPr>
      </w:pPr>
      <w:r>
        <w:t xml:space="preserve">Diagnostics performs well but BLS bookings remain uneven;</w:t>
      </w:r>
    </w:p>
    <w:p>
      <w:pPr>
        <w:pStyle w:val="Compact"/>
        <w:numPr>
          <w:ilvl w:val="0"/>
          <w:numId w:val="1017"/>
        </w:numPr>
      </w:pPr>
      <w:r>
        <w:t xml:space="preserve">Guidance midpoint rises modestly; and</w:t>
      </w:r>
    </w:p>
    <w:p>
      <w:pPr>
        <w:pStyle w:val="Compact"/>
        <w:numPr>
          <w:ilvl w:val="0"/>
          <w:numId w:val="1017"/>
        </w:numPr>
      </w:pPr>
      <w:r>
        <w:t xml:space="preserve">Management retains a constructive second-half outlook.</w:t>
      </w:r>
    </w:p>
    <w:bookmarkEnd w:id="34"/>
    <w:bookmarkStart w:id="35" w:name="bear-case"/>
    <w:p>
      <w:pPr>
        <w:pStyle w:val="Heading3"/>
      </w:pPr>
      <w:r>
        <w:t xml:space="preserve">Bear case</w:t>
      </w:r>
    </w:p>
    <w:p>
      <w:pPr>
        <w:pStyle w:val="Compact"/>
        <w:numPr>
          <w:ilvl w:val="0"/>
          <w:numId w:val="1018"/>
        </w:numPr>
      </w:pPr>
      <w:r>
        <w:t xml:space="preserve">Revenue below</w:t>
      </w:r>
      <w:r>
        <w:t xml:space="preserve"> </w:t>
      </w:r>
      <m:oMath>
        <m:r>
          <m:t>3.68</m:t>
        </m:r>
        <m:r>
          <m:t>B</m:t>
        </m:r>
        <m:r>
          <m:rPr>
            <m:sty m:val="p"/>
          </m:rPr>
          <m:t>*</m:t>
        </m:r>
        <m:r>
          <m:rPr>
            <m:sty m:val="p"/>
          </m:rPr>
          <m:t>*</m:t>
        </m:r>
        <m:r>
          <m:t>o</m:t>
        </m:r>
        <m:r>
          <m:t>r</m:t>
        </m:r>
        <m:r>
          <m:t>E</m:t>
        </m:r>
        <m:r>
          <m:t>P</m:t>
        </m:r>
        <m:r>
          <m:t>S</m:t>
        </m:r>
        <m:r>
          <m:t>b</m:t>
        </m:r>
        <m:r>
          <m:t>e</m:t>
        </m:r>
        <m:r>
          <m:t>l</m:t>
        </m:r>
        <m:r>
          <m:t>o</m:t>
        </m:r>
        <m:r>
          <m:t>w</m:t>
        </m:r>
        <m:r>
          <m:rPr>
            <m:sty m:val="p"/>
          </m:rPr>
          <m:t>*</m:t>
        </m:r>
        <m:r>
          <m:rPr>
            <m:sty m:val="p"/>
          </m:rPr>
          <m:t>*</m:t>
        </m:r>
      </m:oMath>
      <w:r>
        <w:rPr>
          <w:b/>
          <w:bCs/>
        </w:rPr>
        <w:t xml:space="preserve">4.70</w:t>
      </w:r>
      <w:r>
        <w:t xml:space="preserve">;</w:t>
      </w:r>
    </w:p>
    <w:p>
      <w:pPr>
        <w:pStyle w:val="Compact"/>
        <w:numPr>
          <w:ilvl w:val="0"/>
          <w:numId w:val="1018"/>
        </w:numPr>
      </w:pPr>
      <w:r>
        <w:t xml:space="preserve">Diagnostics organic volume disappoints after adjusting for acquisitions;</w:t>
      </w:r>
    </w:p>
    <w:p>
      <w:pPr>
        <w:pStyle w:val="Compact"/>
        <w:numPr>
          <w:ilvl w:val="0"/>
          <w:numId w:val="1018"/>
        </w:numPr>
      </w:pPr>
      <w:r>
        <w:t xml:space="preserve">Segment margins contract;</w:t>
      </w:r>
    </w:p>
    <w:p>
      <w:pPr>
        <w:pStyle w:val="Compact"/>
        <w:numPr>
          <w:ilvl w:val="0"/>
          <w:numId w:val="1018"/>
        </w:numPr>
      </w:pPr>
      <w:r>
        <w:t xml:space="preserve">BLS book-to-bill remains below 1.0;</w:t>
      </w:r>
    </w:p>
    <w:p>
      <w:pPr>
        <w:pStyle w:val="Compact"/>
        <w:numPr>
          <w:ilvl w:val="0"/>
          <w:numId w:val="1018"/>
        </w:numPr>
      </w:pPr>
      <w:r>
        <w:t xml:space="preserve">Guidance is merely reiterated or reduced; or</w:t>
      </w:r>
    </w:p>
    <w:p>
      <w:pPr>
        <w:pStyle w:val="Compact"/>
        <w:numPr>
          <w:ilvl w:val="0"/>
          <w:numId w:val="1018"/>
        </w:numPr>
      </w:pPr>
      <w:r>
        <w:t xml:space="preserve">Management signals greater-than-expected 2027 PAMA risk.</w:t>
      </w:r>
    </w:p>
    <w:p>
      <w:pPr>
        <w:pStyle w:val="FirstParagraph"/>
      </w:pPr>
      <w:r>
        <w:t xml:space="preserve">These thresholds are analytical guideposts rather than additional consensus estimates.</w:t>
      </w:r>
    </w:p>
    <w:p>
      <w:r>
        <w:pict>
          <v:rect style="width:0;height:1.5pt" o:hralign="center" o:hrstd="t" o:hr="t"/>
        </w:pict>
      </w:r>
    </w:p>
    <w:bookmarkEnd w:id="35"/>
    <w:bookmarkEnd w:id="36"/>
    <w:bookmarkStart w:id="37" w:name="bottom-line"/>
    <w:p>
      <w:pPr>
        <w:pStyle w:val="Heading2"/>
      </w:pPr>
      <w:r>
        <w:t xml:space="preserve">Bottom line</w:t>
      </w:r>
    </w:p>
    <w:p>
      <w:pPr>
        <w:pStyle w:val="FirstParagraph"/>
      </w:pPr>
      <w:r>
        <w:t xml:space="preserve">The fundamental setup is favorable. Labcorp should benefit from a healthy laboratory-utilization environment, increasing tests per requisition, specialty-testing growth, ongoing health-system transactions and improving Early Development efficiency.</w:t>
      </w:r>
    </w:p>
    <w:p>
      <w:pPr>
        <w:pStyle w:val="BodyText"/>
      </w:pPr>
      <w:r>
        <w:t xml:space="preserve">The primary issue is the</w:t>
      </w:r>
      <w:r>
        <w:t xml:space="preserve"> </w:t>
      </w:r>
      <w:r>
        <w:rPr>
          <w:b/>
          <w:bCs/>
        </w:rPr>
        <w:t xml:space="preserve">expectations bar</w:t>
      </w:r>
      <w:r>
        <w:t xml:space="preserve">. At approximately</w:t>
      </w:r>
      <w:r>
        <w:t xml:space="preserve"> </w:t>
      </w:r>
      <w:r>
        <w:rPr>
          <w:b/>
          <w:bCs/>
        </w:rPr>
        <w:t xml:space="preserve">17.2× current 2026 consensus EPS</w:t>
      </w:r>
      <w:r>
        <w:t xml:space="preserve">, the valuation is not extreme, but the stock's sharp pre-earnings appreciation indicates that investors are already anticipating a beat-and-raise report.</w:t>
      </w:r>
    </w:p>
    <w:p>
      <w:pPr>
        <w:pStyle w:val="BodyText"/>
      </w:pPr>
      <w:r>
        <w:t xml:space="preserve">The highest-quality outcome would be:</w:t>
      </w:r>
    </w:p>
    <w:p>
      <w:pPr>
        <w:pStyle w:val="BlockText"/>
      </w:pPr>
      <w:r>
        <w:rPr>
          <w:b/>
          <w:bCs/>
        </w:rPr>
        <w:t xml:space="preserve">Organic Diagnostics strength plus margin expansion, a BLS book-to-bill recovery above 1.0, and a meaningful—not merely token—guidance increase.</w:t>
      </w:r>
    </w:p>
    <w:p>
      <w:pPr>
        <w:pStyle w:val="FirstParagraph"/>
      </w:pPr>
      <w:r>
        <w:t xml:space="preserve">A modest headline beat without those supporting elements may not be enough to sustain the recent rally.</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labcorp.com/events/event-details/q2-2026-labcorp-holdings-earnings-conference-call?utm_source=openai" TargetMode="External" /><Relationship Type="http://schemas.openxmlformats.org/officeDocument/2006/relationships/hyperlink" Id="rId12" Target="https://ir.labcorp.com/news-releases/news-release-details/labcorp-announces-2026-first-quarter-results-raises-full-year?utm_source=openai" TargetMode="External" /><Relationship Type="http://schemas.openxmlformats.org/officeDocument/2006/relationships/hyperlink" Id="rId18" Target="https://newsroom.questdiagnostics.com/2026-07-23-Quest-Diagnostics-Reports-Second-Quarter-2026-Financial-Results-Raises-Revenue-and-EPS-Guidance-for-Full-Year-2026?utm_source=openai" TargetMode="External" /><Relationship Type="http://schemas.openxmlformats.org/officeDocument/2006/relationships/hyperlink" Id="rId11" Target="https://www.barchart.com/stocks/quotes/LH/earnings-estimates?utm_source=openai" TargetMode="External" /><Relationship Type="http://schemas.openxmlformats.org/officeDocument/2006/relationships/hyperlink" Id="rId24" Target="https://www.cms.gov/medicare/payment/fee-schedules/clinical-laboratory-fee-schedule-clfs?utm_source=openai" TargetMode="External" /><Relationship Type="http://schemas.openxmlformats.org/officeDocument/2006/relationships/hyperlink" Id="rId28" Target="https://www.labcorp.com/education-events/press-releases/labcorp-launches-marker-labcorptm-genetic-health-panel-expanding?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labcorp.com/events/event-details/q2-2026-labcorp-holdings-earnings-conference-call?utm_source=openai" TargetMode="External" /><Relationship Type="http://schemas.openxmlformats.org/officeDocument/2006/relationships/hyperlink" Id="rId12" Target="https://ir.labcorp.com/news-releases/news-release-details/labcorp-announces-2026-first-quarter-results-raises-full-year?utm_source=openai" TargetMode="External" /><Relationship Type="http://schemas.openxmlformats.org/officeDocument/2006/relationships/hyperlink" Id="rId18" Target="https://newsroom.questdiagnostics.com/2026-07-23-Quest-Diagnostics-Reports-Second-Quarter-2026-Financial-Results-Raises-Revenue-and-EPS-Guidance-for-Full-Year-2026?utm_source=openai" TargetMode="External" /><Relationship Type="http://schemas.openxmlformats.org/officeDocument/2006/relationships/hyperlink" Id="rId11" Target="https://www.barchart.com/stocks/quotes/LH/earnings-estimates?utm_source=openai" TargetMode="External" /><Relationship Type="http://schemas.openxmlformats.org/officeDocument/2006/relationships/hyperlink" Id="rId24" Target="https://www.cms.gov/medicare/payment/fee-schedules/clinical-laboratory-fee-schedule-clfs?utm_source=openai" TargetMode="External" /><Relationship Type="http://schemas.openxmlformats.org/officeDocument/2006/relationships/hyperlink" Id="rId28" Target="https://www.labcorp.com/education-events/press-releases/labcorp-launches-marker-labcorptm-genetic-health-panel-expanding?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2026-07-29T18:28:43Z</dcterms:created>
  <dcterms:modified xsi:type="dcterms:W3CDTF">2026-07-29T18:28:43Z</dcterms:modified>
</cp:coreProperties>
</file>

<file path=docProps/custom.xml><?xml version="1.0" encoding="utf-8"?>
<Properties xmlns="http://schemas.openxmlformats.org/officeDocument/2006/custom-properties" xmlns:vt="http://schemas.openxmlformats.org/officeDocument/2006/docPropsVTypes"/>
</file>