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abcorp-nyse-lh--2q26-earnings-preview"/>
    <w:p>
      <w:pPr>
        <w:pStyle w:val="Heading1"/>
      </w:pPr>
      <w:r>
        <w:t xml:space="preserve">Labcorp (NYSE: LH) — 2Q26 Earnings Preview</w:t>
      </w:r>
    </w:p>
    <w:p>
      <w:pPr>
        <w:pStyle w:val="FirstParagraph"/>
      </w:pPr>
      <w:r>
        <w:rPr>
          <w:b/>
          <w:bCs/>
        </w:rPr>
        <w:t xml:space="preserve">Event:</w:t>
      </w:r>
      <w:r>
        <w:t xml:space="preserve"> </w:t>
      </w:r>
      <w:r>
        <w:t xml:space="preserve">Thursday, July 30, 2026, before market open; earnings call at</w:t>
      </w:r>
      <w:r>
        <w:t xml:space="preserve"> </w:t>
      </w:r>
      <w:r>
        <w:rPr>
          <w:b/>
          <w:bCs/>
        </w:rPr>
        <w:t xml:space="preserve">9:00 a.m. ET</w:t>
      </w:r>
      <w:r>
        <w:t xml:space="preserve">. (</w:t>
      </w:r>
      <w:hyperlink r:id="rId9">
        <w:r>
          <w:rPr>
            <w:rStyle w:val="Hyperlink"/>
          </w:rPr>
          <w:t xml:space="preserve">ir.labcorp.com</w:t>
        </w:r>
      </w:hyperlink>
      <w:r>
        <w:t xml:space="preserve">)</w:t>
      </w:r>
      <w:r>
        <w:br/>
      </w:r>
      <w:r>
        <w:rPr>
          <w:b/>
          <w:bCs/>
        </w:rPr>
        <w:t xml:space="preserve">Investor focus:</w:t>
      </w:r>
      <w:r>
        <w:t xml:space="preserve"> </w:t>
      </w:r>
      <w:r>
        <w:t xml:space="preserve">Whether Labcorp can sustain the Q1 combination of solid Diagnostics organic growth, high-margin specialty mix, Central Laboratory momentum, and margin expansion—while retaining room to raise full-year guidance again.</w:t>
      </w:r>
    </w:p>
    <w:bookmarkStart w:id="11" w:name="expectations-and-setup"/>
    <w:p>
      <w:pPr>
        <w:pStyle w:val="Heading2"/>
      </w:pPr>
      <w:r>
        <w:t xml:space="preserve">Expectations and setup</w:t>
      </w:r>
    </w:p>
    <w:p>
      <w:pPr>
        <w:pStyle w:val="FirstParagraph"/>
      </w:pPr>
      <w:r>
        <w:t xml:space="preserve">Published consensus calls for</w:t>
      </w:r>
      <w:r>
        <w:t xml:space="preserve"> </w:t>
      </w:r>
      <w:r>
        <w:rPr>
          <w:b/>
          <w:bCs/>
        </w:rPr>
        <w:t xml:space="preserve">$3.71 billion of revenue</w:t>
      </w:r>
      <w:r>
        <w:t xml:space="preserve"> </w:t>
      </w:r>
      <w:r>
        <w:t xml:space="preserve">and</w:t>
      </w:r>
      <w:r>
        <w:t xml:space="preserve"> </w:t>
      </w:r>
      <w:r>
        <w:rPr>
          <w:b/>
          <w:bCs/>
        </w:rPr>
        <w:t xml:space="preserve">adjusted EPS of $4.79</w:t>
      </w:r>
      <w:r>
        <w:t xml:space="preserve">, implying approximately</w:t>
      </w:r>
      <w:r>
        <w:t xml:space="preserve"> </w:t>
      </w:r>
      <w:r>
        <w:rPr>
          <w:b/>
          <w:bCs/>
        </w:rPr>
        <w:t xml:space="preserve">5.2% revenue growth</w:t>
      </w:r>
      <w:r>
        <w:t xml:space="preserve"> </w:t>
      </w:r>
      <w:r>
        <w:t xml:space="preserve">and</w:t>
      </w:r>
      <w:r>
        <w:t xml:space="preserve"> </w:t>
      </w:r>
      <w:r>
        <w:rPr>
          <w:b/>
          <w:bCs/>
        </w:rPr>
        <w:t xml:space="preserve">10.1% adjusted-EPS growth</w:t>
      </w:r>
      <w:r>
        <w:t xml:space="preserve"> </w:t>
      </w:r>
      <w:r>
        <w:t xml:space="preserve">versus 2Q25’s $3.53 billion and $4.35, respectively. (</w:t>
      </w:r>
      <w:hyperlink r:id="rId10">
        <w:r>
          <w:rPr>
            <w:rStyle w:val="Hyperlink"/>
          </w:rPr>
          <w:t xml:space="preserve">marketbeat.com</w:t>
        </w:r>
      </w:hyperlink>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consensus</w:t>
            </w:r>
          </w:p>
        </w:tc>
        <w:tc>
          <w:tcPr/>
          <w:p>
            <w:pPr>
              <w:pStyle w:val="Compact"/>
              <w:jc w:val="right"/>
            </w:pPr>
            <w:r>
              <w:t xml:space="preserve">2Q25 actual</w:t>
            </w:r>
          </w:p>
        </w:tc>
        <w:tc>
          <w:tcPr/>
          <w:p>
            <w:pPr>
              <w:pStyle w:val="Compact"/>
              <w:jc w:val="right"/>
            </w:pPr>
            <w:r>
              <w:t xml:space="preserve">Implied YoY</w:t>
            </w:r>
          </w:p>
        </w:tc>
      </w:tr>
      <w:tr>
        <w:tc>
          <w:tcPr/>
          <w:p>
            <w:pPr>
              <w:pStyle w:val="Compact"/>
            </w:pPr>
            <w:r>
              <w:t xml:space="preserve">Revenue</w:t>
            </w:r>
          </w:p>
        </w:tc>
        <w:tc>
          <w:tcPr/>
          <w:p>
            <w:pPr>
              <w:pStyle w:val="Compact"/>
              <w:jc w:val="right"/>
            </w:pPr>
            <w:r>
              <w:t xml:space="preserve">$3.71B</w:t>
            </w:r>
          </w:p>
        </w:tc>
        <w:tc>
          <w:tcPr/>
          <w:p>
            <w:pPr>
              <w:pStyle w:val="Compact"/>
              <w:jc w:val="right"/>
            </w:pPr>
            <w:r>
              <w:t xml:space="preserve">$3.53B</w:t>
            </w:r>
          </w:p>
        </w:tc>
        <w:tc>
          <w:tcPr/>
          <w:p>
            <w:pPr>
              <w:pStyle w:val="Compact"/>
              <w:jc w:val="right"/>
            </w:pPr>
            <w:r>
              <w:t xml:space="preserve">+5.2%</w:t>
            </w:r>
          </w:p>
        </w:tc>
      </w:tr>
      <w:tr>
        <w:tc>
          <w:tcPr/>
          <w:p>
            <w:pPr>
              <w:pStyle w:val="Compact"/>
            </w:pPr>
            <w:r>
              <w:t xml:space="preserve">Adjusted EPS</w:t>
            </w:r>
          </w:p>
        </w:tc>
        <w:tc>
          <w:tcPr/>
          <w:p>
            <w:pPr>
              <w:pStyle w:val="Compact"/>
              <w:jc w:val="right"/>
            </w:pPr>
            <w:r>
              <w:t xml:space="preserve">$4.79</w:t>
            </w:r>
          </w:p>
        </w:tc>
        <w:tc>
          <w:tcPr/>
          <w:p>
            <w:pPr>
              <w:pStyle w:val="Compact"/>
              <w:jc w:val="right"/>
            </w:pPr>
            <w:r>
              <w:t xml:space="preserve">$4.35</w:t>
            </w:r>
          </w:p>
        </w:tc>
        <w:tc>
          <w:tcPr/>
          <w:p>
            <w:pPr>
              <w:pStyle w:val="Compact"/>
              <w:jc w:val="right"/>
            </w:pPr>
            <w:r>
              <w:t xml:space="preserve">+10.1%</w:t>
            </w:r>
          </w:p>
        </w:tc>
      </w:tr>
    </w:tbl>
    <w:p>
      <w:pPr>
        <w:pStyle w:val="BodyText"/>
      </w:pPr>
      <w:r>
        <w:t xml:space="preserve">The stock closed July 29 at</w:t>
      </w:r>
      <w:r>
        <w:t xml:space="preserve"> </w:t>
      </w:r>
      <w:r>
        <w:rPr>
          <w:b/>
          <w:bCs/>
        </w:rPr>
        <w:t xml:space="preserve">$310.28</w:t>
      </w:r>
      <w:r>
        <w:t xml:space="preserve">, up roughly</w:t>
      </w:r>
      <w:r>
        <w:t xml:space="preserve"> </w:t>
      </w:r>
      <w:r>
        <w:rPr>
          <w:b/>
          <w:bCs/>
        </w:rPr>
        <w:t xml:space="preserve">20.8%</w:t>
      </w:r>
      <w:r>
        <w:t xml:space="preserve"> </w:t>
      </w:r>
      <w:r>
        <w:t xml:space="preserve">from the April 30 close following the first-quarter release. That means the bar is likely higher than a simple EPS beat: investors will want confirmation that full-year organic growth, margins, and cash generation remain at least as strong as the outlook established in April. At the current price, shares trade at roughly</w:t>
      </w:r>
      <w:r>
        <w:t xml:space="preserve"> </w:t>
      </w:r>
      <w:r>
        <w:rPr>
          <w:b/>
          <w:bCs/>
        </w:rPr>
        <w:t xml:space="preserve">17.2x</w:t>
      </w:r>
      <w:r>
        <w:t xml:space="preserve"> </w:t>
      </w:r>
      <w:r>
        <w:t xml:space="preserve">the midpoint of management’s</w:t>
      </w:r>
      <w:r>
        <w:t xml:space="preserve"> </w:t>
      </w:r>
      <m:oMath>
        <m:r>
          <m:t>17.70</m:t>
        </m:r>
        <m:r>
          <m:rPr>
            <m:sty m:val="p"/>
          </m:rPr>
          <m:t>–</m:t>
        </m:r>
      </m:oMath>
      <w:r>
        <w:t xml:space="preserve">18.35 FY26 adjusted-EPS guidance.</w:t>
      </w:r>
    </w:p>
    <w:bookmarkEnd w:id="11"/>
    <w:bookmarkStart w:id="12" w:name="why-the-quarter-matters"/>
    <w:p>
      <w:pPr>
        <w:pStyle w:val="Heading2"/>
      </w:pPr>
      <w:r>
        <w:t xml:space="preserve">Why the quarter matters</w:t>
      </w:r>
    </w:p>
    <w:p>
      <w:pPr>
        <w:pStyle w:val="FirstParagraph"/>
      </w:pPr>
      <w:r>
        <w:t xml:space="preserve">Labcorp exited 1Q with tangible momentum:</w:t>
      </w:r>
    </w:p>
    <w:p>
      <w:pPr>
        <w:pStyle w:val="Compact"/>
        <w:numPr>
          <w:ilvl w:val="0"/>
          <w:numId w:val="1001"/>
        </w:numPr>
      </w:pPr>
      <w:r>
        <w:rPr>
          <w:b/>
          <w:bCs/>
        </w:rPr>
        <w:t xml:space="preserve">Enterprise revenue rose 5.8%</w:t>
      </w:r>
      <w:r>
        <w:t xml:space="preserve">, including</w:t>
      </w:r>
      <w:r>
        <w:t xml:space="preserve"> </w:t>
      </w:r>
      <w:r>
        <w:rPr>
          <w:b/>
          <w:bCs/>
        </w:rPr>
        <w:t xml:space="preserve">3.1% organic growth</w:t>
      </w:r>
      <w:r>
        <w:t xml:space="preserve">; adjusted EPS increased</w:t>
      </w:r>
      <w:r>
        <w:t xml:space="preserve"> </w:t>
      </w:r>
      <w:r>
        <w:rPr>
          <w:b/>
          <w:bCs/>
        </w:rPr>
        <w:t xml:space="preserve">10.6%</w:t>
      </w:r>
      <w:r>
        <w:t xml:space="preserve"> </w:t>
      </w:r>
      <w:r>
        <w:t xml:space="preserve">to $4.25.</w:t>
      </w:r>
    </w:p>
    <w:p>
      <w:pPr>
        <w:pStyle w:val="Compact"/>
        <w:numPr>
          <w:ilvl w:val="0"/>
          <w:numId w:val="1001"/>
        </w:numPr>
      </w:pPr>
      <w:r>
        <w:rPr>
          <w:b/>
          <w:bCs/>
        </w:rPr>
        <w:t xml:space="preserve">Diagnostics</w:t>
      </w:r>
      <w:r>
        <w:t xml:space="preserve"> </w:t>
      </w:r>
      <w:r>
        <w:t xml:space="preserve">grew 5.0%, with 2.9% organic growth and 30 bps of adjusted-margin expansion to 16.6%.</w:t>
      </w:r>
    </w:p>
    <w:p>
      <w:pPr>
        <w:pStyle w:val="Compact"/>
        <w:numPr>
          <w:ilvl w:val="0"/>
          <w:numId w:val="1001"/>
        </w:numPr>
      </w:pPr>
      <w:r>
        <w:rPr>
          <w:b/>
          <w:bCs/>
        </w:rPr>
        <w:t xml:space="preserve">Biopharma Laboratory Services (BLS)</w:t>
      </w:r>
      <w:r>
        <w:t xml:space="preserve"> </w:t>
      </w:r>
      <w:r>
        <w:t xml:space="preserve">grew 8.2%; Central Labs grew 11.3% reported and 4.9% organically at constant currency, while BLS margin rose 60 bps to 15.5%.</w:t>
      </w:r>
    </w:p>
    <w:p>
      <w:pPr>
        <w:pStyle w:val="Compact"/>
        <w:numPr>
          <w:ilvl w:val="0"/>
          <w:numId w:val="1001"/>
        </w:numPr>
      </w:pPr>
      <w:r>
        <w:t xml:space="preserve">Management raised 2026 guidance after Q1 to</w:t>
      </w:r>
      <w:r>
        <w:t xml:space="preserve"> </w:t>
      </w:r>
      <w:r>
        <w:rPr>
          <w:b/>
          <w:bCs/>
        </w:rPr>
        <w:t xml:space="preserve">5.0%–6.1% enterprise revenue growth</w:t>
      </w:r>
      <w:r>
        <w:t xml:space="preserve">,</w:t>
      </w:r>
      <w:r>
        <w:t xml:space="preserve"> </w:t>
      </w:r>
      <m:oMath>
        <m:r>
          <m:t>17.70</m:t>
        </m:r>
        <m:r>
          <m:rPr>
            <m:sty m:val="p"/>
          </m:rPr>
          <m:t>–</m:t>
        </m:r>
      </m:oMath>
      <w:r>
        <w:rPr>
          <w:b/>
          <w:bCs/>
        </w:rPr>
        <w:t xml:space="preserve">18.35 adjusted EPS</w:t>
      </w:r>
      <w:r>
        <w:t xml:space="preserve">, and</w:t>
      </w:r>
      <w:r>
        <w:t xml:space="preserve"> </w:t>
      </w:r>
      <m:oMath>
        <m:r>
          <m:t>1.24</m:t>
        </m:r>
        <m:r>
          <m:rPr>
            <m:sty m:val="p"/>
          </m:rPr>
          <m:t>–</m:t>
        </m:r>
      </m:oMath>
      <w:r>
        <w:rPr>
          <w:b/>
          <w:bCs/>
        </w:rPr>
        <w:t xml:space="preserve">1.36 billion of free cash flow</w:t>
      </w:r>
      <w:r>
        <w:t xml:space="preserve">.</w:t>
      </w:r>
    </w:p>
    <w:p>
      <w:pPr>
        <w:pStyle w:val="FirstParagraph"/>
      </w:pPr>
      <w:r>
        <w:t xml:space="preserve">The core question is not whether 2Q growth remains positive—it should—but whether the mix and operating leverage are sufficient to support another upward revision or at least create confidence around the upper half of the existing ranges.</w:t>
      </w:r>
    </w:p>
    <w:bookmarkEnd w:id="12"/>
    <w:bookmarkStart w:id="17" w:name="the-four-items-investors-should-watch"/>
    <w:p>
      <w:pPr>
        <w:pStyle w:val="Heading2"/>
      </w:pPr>
      <w:r>
        <w:t xml:space="preserve">The four items investors should watch</w:t>
      </w:r>
    </w:p>
    <w:bookmarkStart w:id="13" w:name="Xb35f57523a40a5aeed5c9ce75677ccbcc1c2e50"/>
    <w:p>
      <w:pPr>
        <w:pStyle w:val="Heading3"/>
      </w:pPr>
      <w:r>
        <w:t xml:space="preserve">1. Diagnostics: organic volume, price/mix, and specialty testing</w:t>
      </w:r>
    </w:p>
    <w:p>
      <w:pPr>
        <w:pStyle w:val="FirstParagraph"/>
      </w:pPr>
      <w:r>
        <w:t xml:space="preserve">Diagnostics is the largest earnings driver. Q1 organic revenue growth of 2.9% was held back by roughly</w:t>
      </w:r>
      <w:r>
        <w:t xml:space="preserve"> </w:t>
      </w:r>
      <w:r>
        <w:rPr>
          <w:b/>
          <w:bCs/>
        </w:rPr>
        <w:t xml:space="preserve">$15 million of adverse weather</w:t>
      </w:r>
      <w:r>
        <w:t xml:space="preserve">, with organic volume estimated closer to 2% excluding that effect. A normalized 2Q comparison should therefore benefit from easier operational conditions.</w:t>
      </w:r>
    </w:p>
    <w:p>
      <w:pPr>
        <w:pStyle w:val="BodyText"/>
      </w:pPr>
      <w:r>
        <w:t xml:space="preserve">Most important will be the composition of growth:</w:t>
      </w:r>
    </w:p>
    <w:p>
      <w:pPr>
        <w:pStyle w:val="Compact"/>
        <w:numPr>
          <w:ilvl w:val="0"/>
          <w:numId w:val="1002"/>
        </w:numPr>
      </w:pPr>
      <w:r>
        <w:rPr>
          <w:b/>
          <w:bCs/>
        </w:rPr>
        <w:t xml:space="preserve">Volume:</w:t>
      </w:r>
      <w:r>
        <w:t xml:space="preserve"> </w:t>
      </w:r>
      <w:r>
        <w:t xml:space="preserve">Health-system partnerships, acquired outreach laboratories, and resilient routine testing utilization should support volumes.</w:t>
      </w:r>
    </w:p>
    <w:p>
      <w:pPr>
        <w:pStyle w:val="Compact"/>
        <w:numPr>
          <w:ilvl w:val="0"/>
          <w:numId w:val="1002"/>
        </w:numPr>
      </w:pPr>
      <w:r>
        <w:rPr>
          <w:b/>
          <w:bCs/>
        </w:rPr>
        <w:t xml:space="preserve">Price/mix:</w:t>
      </w:r>
      <w:r>
        <w:t xml:space="preserve"> </w:t>
      </w:r>
      <w:r>
        <w:t xml:space="preserve">Management has emphasized that favorable mix—not conventional price increases—is the key driver. Specialty testing, especially oncology and neurology, increases tests per accession and supports better profitability.</w:t>
      </w:r>
    </w:p>
    <w:p>
      <w:pPr>
        <w:pStyle w:val="Compact"/>
        <w:numPr>
          <w:ilvl w:val="0"/>
          <w:numId w:val="1002"/>
        </w:numPr>
      </w:pPr>
      <w:r>
        <w:rPr>
          <w:b/>
          <w:bCs/>
        </w:rPr>
        <w:t xml:space="preserve">Specialty execution:</w:t>
      </w:r>
      <w:r>
        <w:t xml:space="preserve"> </w:t>
      </w:r>
      <w:r>
        <w:t xml:space="preserve">Neurology and oncology were both growing double digits in Q1. Labcorp’s Alzheimer’s testing franchise, molecular oncology portfolio, and MRD offerings are central to the longer-term thesis.</w:t>
      </w:r>
    </w:p>
    <w:p>
      <w:pPr>
        <w:pStyle w:val="Compact"/>
        <w:numPr>
          <w:ilvl w:val="0"/>
          <w:numId w:val="1002"/>
        </w:numPr>
      </w:pPr>
      <w:r>
        <w:rPr>
          <w:b/>
          <w:bCs/>
        </w:rPr>
        <w:t xml:space="preserve">Consumer testing:</w:t>
      </w:r>
      <w:r>
        <w:t xml:space="preserve"> </w:t>
      </w:r>
      <w:r>
        <w:t xml:space="preserve">Labcorp OnDemand has been growing at a strong double-digit rate, but remains strategically more important than financially material near term. Investors should listen for early traction from the May launch of the MyLabcorp app.</w:t>
      </w:r>
    </w:p>
    <w:p>
      <w:pPr>
        <w:pStyle w:val="FirstParagraph"/>
      </w:pPr>
      <w:r>
        <w:t xml:space="preserve">At the June Jefferies conference, management characterized Diagnostics’ full-year revenue mix as approximately</w:t>
      </w:r>
      <w:r>
        <w:t xml:space="preserve"> </w:t>
      </w:r>
      <w:r>
        <w:rPr>
          <w:b/>
          <w:bCs/>
        </w:rPr>
        <w:t xml:space="preserve">50/50 volume and price/mix</w:t>
      </w:r>
      <w:r>
        <w:t xml:space="preserve">, and said esoteric testing now represents about</w:t>
      </w:r>
      <w:r>
        <w:t xml:space="preserve"> </w:t>
      </w:r>
      <w:r>
        <w:rPr>
          <w:b/>
          <w:bCs/>
        </w:rPr>
        <w:t xml:space="preserve">40% of Diagnostics revenue</w:t>
      </w:r>
      <w:r>
        <w:t xml:space="preserve">. That reinforces the importance of mix-led growth and margin progression rather than simply chasing test volumes.</w:t>
      </w:r>
    </w:p>
    <w:bookmarkEnd w:id="13"/>
    <w:bookmarkStart w:id="14" w:name="X7188b8ff026b04453ee9969f7bca93aa38753a3"/>
    <w:p>
      <w:pPr>
        <w:pStyle w:val="Heading3"/>
      </w:pPr>
      <w:r>
        <w:t xml:space="preserve">2. BLS: Central Labs momentum and the book-to-bill rebound</w:t>
      </w:r>
    </w:p>
    <w:p>
      <w:pPr>
        <w:pStyle w:val="FirstParagraph"/>
      </w:pPr>
      <w:r>
        <w:t xml:space="preserve">BLS is the swing factor for upside. Q1 was strong operationally, led by Central Labs, but the reported quarterly</w:t>
      </w:r>
      <w:r>
        <w:t xml:space="preserve"> </w:t>
      </w:r>
      <w:r>
        <w:rPr>
          <w:b/>
          <w:bCs/>
        </w:rPr>
        <w:t xml:space="preserve">book-to-bill of 0.94</w:t>
      </w:r>
      <w:r>
        <w:t xml:space="preserve"> </w:t>
      </w:r>
      <w:r>
        <w:t xml:space="preserve">attracted attention. Management argued it was primarily timing-related, noted that trailing-12-month book-to-bill remained healthy at</w:t>
      </w:r>
      <w:r>
        <w:t xml:space="preserve"> </w:t>
      </w:r>
      <w:r>
        <w:rPr>
          <w:b/>
          <w:bCs/>
        </w:rPr>
        <w:t xml:space="preserve">1.04</w:t>
      </w:r>
      <w:r>
        <w:t xml:space="preserve">, and specifically expected a sequential improvement in 2Q.</w:t>
      </w:r>
    </w:p>
    <w:p>
      <w:pPr>
        <w:pStyle w:val="BodyText"/>
      </w:pPr>
      <w:r>
        <w:t xml:space="preserve">For the report, investors should focus on:</w:t>
      </w:r>
    </w:p>
    <w:p>
      <w:pPr>
        <w:pStyle w:val="Compact"/>
        <w:numPr>
          <w:ilvl w:val="0"/>
          <w:numId w:val="1003"/>
        </w:numPr>
      </w:pPr>
      <w:r>
        <w:rPr>
          <w:b/>
          <w:bCs/>
        </w:rPr>
        <w:t xml:space="preserve">Central Labs organic constant-currency growth:</w:t>
      </w:r>
      <w:r>
        <w:t xml:space="preserve"> </w:t>
      </w:r>
      <w:r>
        <w:t xml:space="preserve">Management’s FY26 target is mid-single-digit growth. Continued execution here supports both revenue and BLS margins.</w:t>
      </w:r>
    </w:p>
    <w:p>
      <w:pPr>
        <w:pStyle w:val="Compact"/>
        <w:numPr>
          <w:ilvl w:val="0"/>
          <w:numId w:val="1003"/>
        </w:numPr>
      </w:pPr>
      <w:r>
        <w:rPr>
          <w:b/>
          <w:bCs/>
        </w:rPr>
        <w:t xml:space="preserve">Bookings and book-to-bill:</w:t>
      </w:r>
      <w:r>
        <w:t xml:space="preserve"> </w:t>
      </w:r>
      <w:r>
        <w:t xml:space="preserve">A rebound above 1.0 would validate management’s commentary and reduce concerns about clinical-trial demand or share losses.</w:t>
      </w:r>
    </w:p>
    <w:p>
      <w:pPr>
        <w:pStyle w:val="Compact"/>
        <w:numPr>
          <w:ilvl w:val="0"/>
          <w:numId w:val="1003"/>
        </w:numPr>
      </w:pPr>
      <w:r>
        <w:rPr>
          <w:b/>
          <w:bCs/>
        </w:rPr>
        <w:t xml:space="preserve">Backlog and 12-month conversion:</w:t>
      </w:r>
      <w:r>
        <w:t xml:space="preserve"> </w:t>
      </w:r>
      <w:r>
        <w:t xml:space="preserve">Q1 backlog was $8.64 billion, with $2.69 billion expected to convert over the following 12 months. Directionality matters more than a minor quarterly movement.</w:t>
      </w:r>
    </w:p>
    <w:p>
      <w:pPr>
        <w:pStyle w:val="Compact"/>
        <w:numPr>
          <w:ilvl w:val="0"/>
          <w:numId w:val="1003"/>
        </w:numPr>
      </w:pPr>
      <w:r>
        <w:rPr>
          <w:b/>
          <w:bCs/>
        </w:rPr>
        <w:t xml:space="preserve">Early Development restructuring:</w:t>
      </w:r>
      <w:r>
        <w:t xml:space="preserve"> </w:t>
      </w:r>
      <w:r>
        <w:t xml:space="preserve">Labcorp expected strategic actions—including non-core divestitures and site consolidation—to be largely completed by the end of Q2. Investors should expect clearer evidence of a cleaner, more profitable business exiting the quarter.</w:t>
      </w:r>
    </w:p>
    <w:p>
      <w:pPr>
        <w:pStyle w:val="FirstParagraph"/>
      </w:pPr>
      <w:r>
        <w:t xml:space="preserve">Central Labs’ mix is especially valuable: it is the faster-growing and more profitable component of BLS, and management expects BLS margin expansion to exceed that of Diagnostics in 2026.</w:t>
      </w:r>
    </w:p>
    <w:bookmarkEnd w:id="14"/>
    <w:bookmarkStart w:id="15" w:name="Xc3bcba6f7a96beeff4f6edb6944805b7cf51e20"/>
    <w:p>
      <w:pPr>
        <w:pStyle w:val="Heading3"/>
      </w:pPr>
      <w:r>
        <w:t xml:space="preserve">3. Margins: can Q1’s operating leverage continue?</w:t>
      </w:r>
    </w:p>
    <w:p>
      <w:pPr>
        <w:pStyle w:val="FirstParagraph"/>
      </w:pPr>
      <w:r>
        <w:t xml:space="preserve">Labcorp’s Q1 adjusted operating margin expanded</w:t>
      </w:r>
      <w:r>
        <w:t xml:space="preserve"> </w:t>
      </w:r>
      <w:r>
        <w:rPr>
          <w:b/>
          <w:bCs/>
        </w:rPr>
        <w:t xml:space="preserve">40 bps</w:t>
      </w:r>
      <w:r>
        <w:t xml:space="preserve"> </w:t>
      </w:r>
      <w:r>
        <w:t xml:space="preserve">year over year to</w:t>
      </w:r>
      <w:r>
        <w:t xml:space="preserve"> </w:t>
      </w:r>
      <w:r>
        <w:rPr>
          <w:b/>
          <w:bCs/>
        </w:rPr>
        <w:t xml:space="preserve">14.4%</w:t>
      </w:r>
      <w:r>
        <w:t xml:space="preserve">. The company’s full-year outlook assumes margin improvement in both segments, with BLS expanding faster due to Central Labs growth and Early Development actions.</w:t>
      </w:r>
    </w:p>
    <w:p>
      <w:pPr>
        <w:pStyle w:val="BodyText"/>
      </w:pPr>
      <w:r>
        <w:t xml:space="preserve">Key items to assess:</w:t>
      </w:r>
    </w:p>
    <w:p>
      <w:pPr>
        <w:pStyle w:val="Compact"/>
        <w:numPr>
          <w:ilvl w:val="0"/>
          <w:numId w:val="1004"/>
        </w:numPr>
      </w:pPr>
      <w:r>
        <w:rPr>
          <w:b/>
          <w:bCs/>
        </w:rPr>
        <w:t xml:space="preserve">Diagnostics margin:</w:t>
      </w:r>
      <w:r>
        <w:t xml:space="preserve"> </w:t>
      </w:r>
      <w:r>
        <w:t xml:space="preserve">Q1’s 16.6% margin benefited from organic growth despite weather disruption. A second consecutive year-over-year gain would reinforce confidence in specialty mix and productivity.</w:t>
      </w:r>
    </w:p>
    <w:p>
      <w:pPr>
        <w:pStyle w:val="Compact"/>
        <w:numPr>
          <w:ilvl w:val="0"/>
          <w:numId w:val="1004"/>
        </w:numPr>
      </w:pPr>
      <w:r>
        <w:rPr>
          <w:b/>
          <w:bCs/>
        </w:rPr>
        <w:t xml:space="preserve">BLS margin:</w:t>
      </w:r>
      <w:r>
        <w:t xml:space="preserve"> </w:t>
      </w:r>
      <w:r>
        <w:t xml:space="preserve">Given the restructuring completion target, 2Q may be a transition period; the more important message is the pace of improvement expected in 2H.</w:t>
      </w:r>
    </w:p>
    <w:p>
      <w:pPr>
        <w:pStyle w:val="Compact"/>
        <w:numPr>
          <w:ilvl w:val="0"/>
          <w:numId w:val="1004"/>
        </w:numPr>
      </w:pPr>
      <w:r>
        <w:rPr>
          <w:b/>
          <w:bCs/>
        </w:rPr>
        <w:t xml:space="preserve">LaunchPad and AI productivity:</w:t>
      </w:r>
      <w:r>
        <w:t xml:space="preserve"> </w:t>
      </w:r>
      <w:r>
        <w:t xml:space="preserve">Management has positioned automation, digital pathology, AI-enabled billing/workflows, and process consolidation as multiyear efficiency levers. Investors will want quantified savings or practical examples translating into margin, turnaround time, or bad-debt improvement.</w:t>
      </w:r>
    </w:p>
    <w:p>
      <w:pPr>
        <w:pStyle w:val="FirstParagraph"/>
      </w:pPr>
      <w:r>
        <w:t xml:space="preserve">One caveat: adjusted results exclude sizable recurring items such as amortization, acquisition/disposition costs, LaunchPad costs, and restructuring. The market will focus on adjusted EPS, but the trajectory of those excluded costs remains relevant to GAAP earnings quality.</w:t>
      </w:r>
    </w:p>
    <w:bookmarkEnd w:id="15"/>
    <w:bookmarkStart w:id="16" w:name="X7a5994b157d1a245a16a91982cd99ac06797915"/>
    <w:p>
      <w:pPr>
        <w:pStyle w:val="Heading3"/>
      </w:pPr>
      <w:r>
        <w:t xml:space="preserve">4. Guidance: the decisive stock catalyst</w:t>
      </w:r>
    </w:p>
    <w:p>
      <w:pPr>
        <w:pStyle w:val="FirstParagraph"/>
      </w:pPr>
      <w:r>
        <w:t xml:space="preserve">The stock’s recent run makes</w:t>
      </w:r>
      <w:r>
        <w:t xml:space="preserve"> </w:t>
      </w:r>
      <w:r>
        <w:rPr>
          <w:b/>
          <w:bCs/>
        </w:rPr>
        <w:t xml:space="preserve">full-year guidance</w:t>
      </w:r>
      <w:r>
        <w:t xml:space="preserve"> </w:t>
      </w:r>
      <w:r>
        <w:t xml:space="preserve">the likely primary determinant of the post-print reaction.</w:t>
      </w:r>
    </w:p>
    <w:p>
      <w:pPr>
        <w:pStyle w:val="BodyText"/>
      </w:pPr>
      <w:r>
        <w:t xml:space="preserve">After Q1, management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outlook</w:t>
            </w:r>
          </w:p>
        </w:tc>
        <w:tc>
          <w:tcPr/>
          <w:p>
            <w:pPr>
              <w:pStyle w:val="Compact"/>
              <w:jc w:val="right"/>
            </w:pPr>
            <w:r>
              <w:t xml:space="preserve">Current range</w:t>
            </w:r>
          </w:p>
        </w:tc>
      </w:tr>
      <w:tr>
        <w:tc>
          <w:tcPr/>
          <w:p>
            <w:pPr>
              <w:pStyle w:val="Compact"/>
            </w:pPr>
            <w:r>
              <w:t xml:space="preserve">Enterprise revenue</w:t>
            </w:r>
          </w:p>
        </w:tc>
        <w:tc>
          <w:tcPr/>
          <w:p>
            <w:pPr>
              <w:pStyle w:val="Compact"/>
              <w:jc w:val="right"/>
            </w:pPr>
            <m:oMath>
              <m:r>
                <m:t>14.65</m:t>
              </m:r>
              <m:r>
                <m:t>B</m:t>
              </m:r>
              <m:r>
                <m:rPr>
                  <m:sty m:val="p"/>
                </m:rPr>
                <m:t>–</m:t>
              </m:r>
            </m:oMath>
            <w:r>
              <w:t xml:space="preserve">14.80B</w:t>
            </w:r>
          </w:p>
        </w:tc>
      </w:tr>
      <w:tr>
        <w:tc>
          <w:tcPr/>
          <w:p>
            <w:pPr>
              <w:pStyle w:val="Compact"/>
            </w:pPr>
            <w:r>
              <w:t xml:space="preserve">Enterprise revenue growth</w:t>
            </w:r>
          </w:p>
        </w:tc>
        <w:tc>
          <w:tcPr/>
          <w:p>
            <w:pPr>
              <w:pStyle w:val="Compact"/>
              <w:jc w:val="right"/>
            </w:pPr>
            <w:r>
              <w:t xml:space="preserve">5.0%–6.1%</w:t>
            </w:r>
          </w:p>
        </w:tc>
      </w:tr>
      <w:tr>
        <w:tc>
          <w:tcPr/>
          <w:p>
            <w:pPr>
              <w:pStyle w:val="Compact"/>
            </w:pPr>
            <w:r>
              <w:t xml:space="preserve">Diagnostics growth</w:t>
            </w:r>
          </w:p>
        </w:tc>
        <w:tc>
          <w:tcPr/>
          <w:p>
            <w:pPr>
              <w:pStyle w:val="Compact"/>
              <w:jc w:val="right"/>
            </w:pPr>
            <w:r>
              <w:t xml:space="preserve">5.1%–5.9%</w:t>
            </w:r>
          </w:p>
        </w:tc>
      </w:tr>
      <w:tr>
        <w:tc>
          <w:tcPr/>
          <w:p>
            <w:pPr>
              <w:pStyle w:val="Compact"/>
            </w:pPr>
            <w:r>
              <w:t xml:space="preserve">BLS growth</w:t>
            </w:r>
          </w:p>
        </w:tc>
        <w:tc>
          <w:tcPr/>
          <w:p>
            <w:pPr>
              <w:pStyle w:val="Compact"/>
              <w:jc w:val="right"/>
            </w:pPr>
            <w:r>
              <w:t xml:space="preserve">3.8%–5.4%</w:t>
            </w:r>
          </w:p>
        </w:tc>
      </w:tr>
      <w:tr>
        <w:tc>
          <w:tcPr/>
          <w:p>
            <w:pPr>
              <w:pStyle w:val="Compact"/>
            </w:pPr>
            <w:r>
              <w:t xml:space="preserve">Adjusted EPS</w:t>
            </w:r>
          </w:p>
        </w:tc>
        <w:tc>
          <w:tcPr/>
          <w:p>
            <w:pPr>
              <w:pStyle w:val="Compact"/>
              <w:jc w:val="right"/>
            </w:pPr>
            <m:oMath>
              <m:r>
                <m:t>17.70</m:t>
              </m:r>
              <m:r>
                <m:rPr>
                  <m:sty m:val="p"/>
                </m:rPr>
                <m:t>–</m:t>
              </m:r>
            </m:oMath>
            <w:r>
              <w:t xml:space="preserve">18.35</w:t>
            </w:r>
          </w:p>
        </w:tc>
      </w:tr>
      <w:tr>
        <w:tc>
          <w:tcPr/>
          <w:p>
            <w:pPr>
              <w:pStyle w:val="Compact"/>
            </w:pPr>
            <w:r>
              <w:t xml:space="preserve">Free cash flow</w:t>
            </w:r>
          </w:p>
        </w:tc>
        <w:tc>
          <w:tcPr/>
          <w:p>
            <w:pPr>
              <w:pStyle w:val="Compact"/>
              <w:jc w:val="right"/>
            </w:pPr>
            <m:oMath>
              <m:r>
                <m:t>1.24</m:t>
              </m:r>
              <m:r>
                <m:t>B</m:t>
              </m:r>
              <m:r>
                <m:rPr>
                  <m:sty m:val="p"/>
                </m:rPr>
                <m:t>–</m:t>
              </m:r>
            </m:oMath>
            <w:r>
              <w:t xml:space="preserve">1.36B</w:t>
            </w:r>
          </w:p>
        </w:tc>
      </w:tr>
    </w:tbl>
    <w:p>
      <w:pPr>
        <w:pStyle w:val="BodyText"/>
      </w:pPr>
      <w:r>
        <w:t xml:space="preserve">The EPS midpoint is</w:t>
      </w:r>
      <w:r>
        <w:t xml:space="preserve"> </w:t>
      </w:r>
      <m:oMath>
        <m:r>
          <m:t>18.03</m:t>
        </m:r>
        <m:r>
          <m:rPr>
            <m:sty m:val="p"/>
          </m:rPr>
          <m:t>*</m:t>
        </m:r>
        <m:r>
          <m:rPr>
            <m:sty m:val="p"/>
          </m:rPr>
          <m:t>*</m:t>
        </m:r>
        <m:r>
          <m:rPr>
            <m:sty m:val="p"/>
          </m:rPr>
          <m:t>,</m:t>
        </m:r>
        <m:r>
          <m:t>w</m:t>
        </m:r>
        <m:r>
          <m:t>h</m:t>
        </m:r>
        <m:r>
          <m:t>i</m:t>
        </m:r>
        <m:r>
          <m:t>l</m:t>
        </m:r>
        <m:r>
          <m:t>e</m:t>
        </m:r>
        <m:r>
          <m:t>t</m:t>
        </m:r>
        <m:r>
          <m:t>h</m:t>
        </m:r>
        <m:r>
          <m:t>e</m:t>
        </m:r>
        <m:r>
          <m:t>r</m:t>
        </m:r>
        <m:r>
          <m:t>e</m:t>
        </m:r>
        <m:r>
          <m:t>v</m:t>
        </m:r>
        <m:r>
          <m:t>e</m:t>
        </m:r>
        <m:r>
          <m:t>n</m:t>
        </m:r>
        <m:r>
          <m:t>u</m:t>
        </m:r>
        <m:r>
          <m:t>e</m:t>
        </m:r>
        <m:r>
          <m:t>m</m:t>
        </m:r>
        <m:r>
          <m:t>i</m:t>
        </m:r>
        <m:r>
          <m:t>d</m:t>
        </m:r>
        <m:r>
          <m:t>p</m:t>
        </m:r>
        <m:r>
          <m:t>o</m:t>
        </m:r>
        <m:r>
          <m:t>i</m:t>
        </m:r>
        <m:r>
          <m:t>n</m:t>
        </m:r>
        <m:r>
          <m:t>t</m:t>
        </m:r>
        <m:r>
          <m:t>i</m:t>
        </m:r>
        <m:r>
          <m:t>s</m:t>
        </m:r>
        <m:r>
          <m:rPr>
            <m:sty m:val="p"/>
          </m:rPr>
          <m:t>*</m:t>
        </m:r>
        <m:r>
          <m:rPr>
            <m:sty m:val="p"/>
          </m:rPr>
          <m:t>*</m:t>
        </m:r>
      </m:oMath>
      <w:r>
        <w:rPr>
          <w:b/>
          <w:bCs/>
        </w:rPr>
        <w:t xml:space="preserve">14.73 billion</w:t>
      </w:r>
      <w:r>
        <w:t xml:space="preserve">. A raise would likely require not only a beat, but sustained Diagnostics mix, evidence that BLS bookings recovered as indicated, and confidence in second-half free-cash-flow conversion.</w:t>
      </w:r>
    </w:p>
    <w:p>
      <w:pPr>
        <w:pStyle w:val="BodyText"/>
      </w:pPr>
      <w:r>
        <w:t xml:space="preserve">A maintained outlook should not automatically be viewed negatively: management’s guide already embeds roughly 10% adjusted-EPS growth at the midpoint. However, following the Q1 raise and a 20%+ share-price appreciation since then, merely reiterating guidance without strong underlying KPI commentary may be insufficient.</w:t>
      </w:r>
    </w:p>
    <w:bookmarkEnd w:id="16"/>
    <w:bookmarkEnd w:id="17"/>
    <w:bookmarkStart w:id="18" w:name="key-risks-and-potential-offsets"/>
    <w:p>
      <w:pPr>
        <w:pStyle w:val="Heading2"/>
      </w:pPr>
      <w:r>
        <w:t xml:space="preserve">Key risks and potential offsets</w:t>
      </w:r>
    </w:p>
    <w:p>
      <w:pPr>
        <w:pStyle w:val="FirstParagraph"/>
      </w:pPr>
      <w:r>
        <w:rPr>
          <w:b/>
          <w:bCs/>
        </w:rPr>
        <w:t xml:space="preserve">Risks</w:t>
      </w:r>
    </w:p>
    <w:p>
      <w:pPr>
        <w:pStyle w:val="Compact"/>
        <w:numPr>
          <w:ilvl w:val="0"/>
          <w:numId w:val="1005"/>
        </w:numPr>
      </w:pPr>
      <w:r>
        <w:rPr>
          <w:b/>
          <w:bCs/>
        </w:rPr>
        <w:t xml:space="preserve">PAMA / reimbursement policy:</w:t>
      </w:r>
      <w:r>
        <w:t xml:space="preserve"> </w:t>
      </w:r>
      <w:r>
        <w:t xml:space="preserve">Labcorp has flagged uncertainty around the PAMA reporting process and potential 2027 reimbursement impacts. The company has advocated for the RESULTS Act; the eventual effect depends substantially on hospital and other laboratory participation in reporting.</w:t>
      </w:r>
    </w:p>
    <w:p>
      <w:pPr>
        <w:pStyle w:val="Compact"/>
        <w:numPr>
          <w:ilvl w:val="0"/>
          <w:numId w:val="1005"/>
        </w:numPr>
      </w:pPr>
      <w:r>
        <w:rPr>
          <w:b/>
          <w:bCs/>
        </w:rPr>
        <w:t xml:space="preserve">ACA exchange utilization:</w:t>
      </w:r>
      <w:r>
        <w:t xml:space="preserve"> </w:t>
      </w:r>
      <w:r>
        <w:t xml:space="preserve">Management still assumes roughly a 30 bp 2026 Diagnostics-volume headwind from ACA-related dynamics, although Q1’s realized impact was immaterial.</w:t>
      </w:r>
    </w:p>
    <w:p>
      <w:pPr>
        <w:pStyle w:val="Compact"/>
        <w:numPr>
          <w:ilvl w:val="0"/>
          <w:numId w:val="1005"/>
        </w:numPr>
      </w:pPr>
      <w:r>
        <w:rPr>
          <w:b/>
          <w:bCs/>
        </w:rPr>
        <w:t xml:space="preserve">Specialty-test reimbursement:</w:t>
      </w:r>
      <w:r>
        <w:t xml:space="preserve"> </w:t>
      </w:r>
      <w:r>
        <w:t xml:space="preserve">Oncology and MRD testing are strategically important, but reimbursement remains uneven in some indications.</w:t>
      </w:r>
    </w:p>
    <w:p>
      <w:pPr>
        <w:pStyle w:val="Compact"/>
        <w:numPr>
          <w:ilvl w:val="0"/>
          <w:numId w:val="1005"/>
        </w:numPr>
      </w:pPr>
      <w:r>
        <w:rPr>
          <w:b/>
          <w:bCs/>
        </w:rPr>
        <w:t xml:space="preserve">BLS bookings volatility:</w:t>
      </w:r>
      <w:r>
        <w:t xml:space="preserve"> </w:t>
      </w:r>
      <w:r>
        <w:t xml:space="preserve">A second consecutive sub-1.0 quarterly book-to-bill would challenge the timing explanation given after Q1.</w:t>
      </w:r>
    </w:p>
    <w:p>
      <w:pPr>
        <w:pStyle w:val="Compact"/>
        <w:numPr>
          <w:ilvl w:val="0"/>
          <w:numId w:val="1005"/>
        </w:numPr>
      </w:pPr>
      <w:r>
        <w:rPr>
          <w:b/>
          <w:bCs/>
        </w:rPr>
        <w:t xml:space="preserve">M&amp;A integration and capital deployment:</w:t>
      </w:r>
      <w:r>
        <w:t xml:space="preserve"> </w:t>
      </w:r>
      <w:r>
        <w:t xml:space="preserve">Hospital/outreach laboratory acquisitions support growth but create execution, integration, and amortization costs.</w:t>
      </w:r>
    </w:p>
    <w:p>
      <w:pPr>
        <w:pStyle w:val="FirstParagraph"/>
      </w:pPr>
      <w:r>
        <w:rPr>
          <w:b/>
          <w:bCs/>
        </w:rPr>
        <w:t xml:space="preserve">Offsets</w:t>
      </w:r>
    </w:p>
    <w:p>
      <w:pPr>
        <w:pStyle w:val="Compact"/>
        <w:numPr>
          <w:ilvl w:val="0"/>
          <w:numId w:val="1006"/>
        </w:numPr>
      </w:pPr>
      <w:r>
        <w:t xml:space="preserve">Health-system and regional-lab deal flow remains robust.</w:t>
      </w:r>
    </w:p>
    <w:p>
      <w:pPr>
        <w:pStyle w:val="Compact"/>
        <w:numPr>
          <w:ilvl w:val="0"/>
          <w:numId w:val="1006"/>
        </w:numPr>
      </w:pPr>
      <w:r>
        <w:t xml:space="preserve">Higher test-per-accession and specialty mix can drive margin faster than revenue.</w:t>
      </w:r>
    </w:p>
    <w:p>
      <w:pPr>
        <w:pStyle w:val="Compact"/>
        <w:numPr>
          <w:ilvl w:val="0"/>
          <w:numId w:val="1006"/>
        </w:numPr>
      </w:pPr>
      <w:r>
        <w:t xml:space="preserve">BLS backlog provides revenue visibility.</w:t>
      </w:r>
    </w:p>
    <w:p>
      <w:pPr>
        <w:pStyle w:val="Compact"/>
        <w:numPr>
          <w:ilvl w:val="0"/>
          <w:numId w:val="1006"/>
        </w:numPr>
      </w:pPr>
      <w:r>
        <w:t xml:space="preserve">Free cash flow is seasonally weighted to the second half, leaving substantial opportunity for cash conversion after Q1’s low base.</w:t>
      </w:r>
    </w:p>
    <w:bookmarkEnd w:id="18"/>
    <w:bookmarkStart w:id="19" w:name="bottom-line"/>
    <w:p>
      <w:pPr>
        <w:pStyle w:val="Heading2"/>
      </w:pPr>
      <w:r>
        <w:t xml:space="preserve">Bottom line</w:t>
      </w:r>
    </w:p>
    <w:p>
      <w:pPr>
        <w:pStyle w:val="FirstParagraph"/>
      </w:pPr>
      <w:r>
        <w:rPr>
          <w:b/>
          <w:bCs/>
        </w:rPr>
        <w:t xml:space="preserve">Constructive heading into the print, but expectations are no longer low.</w:t>
      </w:r>
      <w:r>
        <w:t xml:space="preserve"> </w:t>
      </w:r>
      <w:r>
        <w:t xml:space="preserve">Labcorp has a credible setup for a solid 2Q: normalized Diagnostics volumes after Q1 weather, sustained specialty and consumer momentum, Central Labs growth, and completion of Early Development actions. Consensus appears aligned with management’s broader FY26 framework rather than demanding a dramatic acceleration.</w:t>
      </w:r>
    </w:p>
    <w:p>
      <w:pPr>
        <w:pStyle w:val="BodyText"/>
      </w:pPr>
      <w:r>
        <w:t xml:space="preserve">For the stock, the most favorable outcome would be:</w:t>
      </w:r>
      <w:r>
        <w:t xml:space="preserve"> </w:t>
      </w:r>
      <w:r>
        <w:rPr>
          <w:b/>
          <w:bCs/>
        </w:rPr>
        <w:t xml:space="preserve">a revenue/EPS beat, Diagnostics organic growth led by specialty mix, a sequential recovery in BLS book-to-bill, continued segment-margin expansion, and either a guidance raise or commentary that clearly points to the upper half of the existing ranges.</w:t>
      </w:r>
      <w:r>
        <w:t xml:space="preserve"> </w:t>
      </w:r>
      <w:r>
        <w:t xml:space="preserve">Conversely, weak Diagnostics volume, another soft BLS booking metric, or a cautious guide framework would matter more than a modest headline EPS beat.</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labcorp.com/events/event-details/q2-2026-labcorp-holdings-earnings-conference-call?utm_source=openai" TargetMode="External" /><Relationship Type="http://schemas.openxmlformats.org/officeDocument/2006/relationships/hyperlink" Id="rId10" Target="https://www.marketbeat.com/earnings/reports/2026-7-30-laboratory-co-of-america-holdings-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labcorp.com/events/event-details/q2-2026-labcorp-holdings-earnings-conference-call?utm_source=openai" TargetMode="External" /><Relationship Type="http://schemas.openxmlformats.org/officeDocument/2006/relationships/hyperlink" Id="rId10" Target="https://www.marketbeat.com/earnings/reports/2026-7-30-laboratory-co-of-america-holdings-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2026-07-29T18:26:24Z</dcterms:created>
  <dcterms:modified xsi:type="dcterms:W3CDTF">2026-07-29T18:26:24Z</dcterms:modified>
</cp:coreProperties>
</file>

<file path=docProps/custom.xml><?xml version="1.0" encoding="utf-8"?>
<Properties xmlns="http://schemas.openxmlformats.org/officeDocument/2006/custom-properties" xmlns:vt="http://schemas.openxmlformats.org/officeDocument/2006/docPropsVTypes"/>
</file>