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Labcorp (LH)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Laboratory Corporation of America Holdings (LH)</w:t>
            </w:r>
          </w:p>
        </w:tc>
      </w:tr>
      <w:tr>
        <w:tc>
          <w:tcPr>
            <w:tcW w:type="dxa" w:w="4320"/>
          </w:tcPr>
          <w:p>
            <w:r>
              <w:rPr>
                <w:rFonts w:ascii="Calibri" w:hAnsi="Calibri"/>
                <w:b/>
                <w:sz w:val="22"/>
              </w:rPr>
              <w:t>Upcoming Earnings Date</w:t>
            </w:r>
          </w:p>
        </w:tc>
        <w:tc>
          <w:tcPr>
            <w:tcW w:type="dxa" w:w="4320"/>
          </w:tcPr>
          <w:p>
            <w:r>
              <w:rPr>
                <w:rFonts w:ascii="Calibri" w:hAnsi="Calibri"/>
                <w:sz w:val="22"/>
              </w:rPr>
              <w:t>July 30, 2026 (Pre-Market) | 9:00 AM ET Call</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guidance was raised post-Q1, and the biggest swing factor is whether the BLS quarterly book-to-bill recovers as management guided.</w:t>
      </w:r>
    </w:p>
    <w:p>
      <w:r>
        <w:rPr>
          <w:rFonts w:ascii="Calibri" w:hAnsi="Calibri"/>
          <w:color w:val="525866"/>
          <w:sz w:val="22"/>
        </w:rPr>
        <w:t xml:space="preserve">Heading into Q2 2026, Labcorp carries solid momentum from a Q1 beat-and-raise, with full-year enterprise revenue guidance of $14.65–$14.80B and adjusted EPS of $17.70–$18.35 (midpoint ~$18.03, +10% YoY). </w:t>
      </w:r>
      <w:r>
        <w:rPr>
          <w:rFonts w:ascii="Calibri" w:hAnsi="Calibri"/>
          <w:b/>
          <w:color w:val="525866"/>
          <w:sz w:val="22"/>
        </w:rPr>
        <w:t>Consensus for Q2 sits at ~$3.71B in revenue and ~$4.78 in adjusted EPS</w:t>
      </w:r>
      <w:r>
        <w:rPr>
          <w:rFonts w:ascii="Calibri" w:hAnsi="Calibri"/>
          <w:color w:val="525866"/>
          <w:sz w:val="22"/>
        </w:rPr>
        <w:t xml:space="preserve"> — a bar that appears achievable given the structural tailwinds in Diagnostics (specialty mix, aging population, tests-per-accession expansion) and continued Central Labs strength. Management's tone at the June 3 Jefferies Healthcare Conference was explicitly optimistic, with CFO Julia Wang stating the company is "highly focused on building upon the strong momentum in Q1" and expressing confidence in the full-year outlook. Estimate revisions have been remarkably stable since the Q1 print — Q2 revenue consensus has barely moved (~$3.711B on May 1 vs. $3.714B today), suggesting the Street is neither chasing upside nor pricing in risk. The stock has re-rated meaningfully since Q1 earnings (+19% vs. XLV +16%), with multiple expansion accounting for the bulk of the move (NTM P/E expanded from ~14.3x to ~16.6x), leaving less room for a sentiment-driven pop on an in-line print. </w:t>
      </w:r>
    </w:p>
    <w:p>
      <w:r>
        <w:rPr>
          <w:rFonts w:ascii="Calibri" w:hAnsi="Calibri"/>
          <w:b/>
          <w:color w:val="525866"/>
          <w:sz w:val="22"/>
        </w:rPr>
        <w:t xml:space="preserve">The key wildcard is the BLS quarterly book-to-bill: </w:t>
      </w:r>
      <w:r>
        <w:rPr>
          <w:rFonts w:ascii="Calibri" w:hAnsi="Calibri"/>
          <w:color w:val="525866"/>
          <w:sz w:val="22"/>
        </w:rPr>
        <w:t>management guided for sequential improvement from Q1's 0.94x, and consensus expects ~1.12x — a miss here would likely pressure the stock despite solid Diagnostics results. Secondary wildcards include the PAMA data collection window (closed July 30) and any Early Development streamlining update, which management said would be "largely complete" by end of Q2.</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moderate, achievable bar — revenue and EPS estimates have barely moved since the Q1 print, suggesting the Street is not pricing in upside. The BLS book-to-bill recovery is the bigger swing factor; a miss there would overshadow a Diagnostics beat.</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 Mid (%)</w:t>
            </w:r>
          </w:p>
        </w:tc>
      </w:tr>
      <w:tr>
        <w:tc>
          <w:tcPr>
            <w:tcW w:type="dxa" w:w="1234"/>
          </w:tcPr>
          <w:p>
            <w:r>
              <w:rPr>
                <w:rFonts w:ascii="Calibri" w:hAnsi="Calibri"/>
                <w:sz w:val="22"/>
              </w:rPr>
              <w:t>Total Revenue ($B)</w:t>
            </w:r>
          </w:p>
        </w:tc>
        <w:tc>
          <w:tcPr>
            <w:tcW w:type="dxa" w:w="1234"/>
          </w:tcPr>
          <w:p>
            <w:r>
              <w:rPr>
                <w:rFonts w:ascii="Calibri" w:hAnsi="Calibri"/>
                <w:sz w:val="22"/>
              </w:rPr>
              <w:t>$3.538B</w:t>
            </w:r>
          </w:p>
        </w:tc>
        <w:tc>
          <w:tcPr>
            <w:tcW w:type="dxa" w:w="1234"/>
          </w:tcPr>
          <w:p>
            <w:r>
              <w:rPr>
                <w:rFonts w:ascii="Calibri" w:hAnsi="Calibri"/>
                <w:sz w:val="22"/>
              </w:rPr>
              <w:t>$3.527B</w:t>
            </w:r>
          </w:p>
        </w:tc>
        <w:tc>
          <w:tcPr>
            <w:tcW w:type="dxa" w:w="1234"/>
          </w:tcPr>
          <w:p>
            <w:r>
              <w:rPr>
                <w:rFonts w:ascii="Calibri" w:hAnsi="Calibri"/>
                <w:sz w:val="22"/>
              </w:rPr>
              <w:t>$3.714B</w:t>
            </w:r>
          </w:p>
        </w:tc>
        <w:tc>
          <w:tcPr>
            <w:tcW w:type="dxa" w:w="1234"/>
          </w:tcPr>
          <w:p>
            <w:r>
              <w:rPr>
                <w:rFonts w:ascii="Calibri" w:hAnsi="Calibri"/>
                <w:sz w:val="22"/>
              </w:rPr>
              <w:t>+5.3%</w:t>
            </w:r>
          </w:p>
        </w:tc>
        <w:tc>
          <w:tcPr>
            <w:tcW w:type="dxa" w:w="1234"/>
          </w:tcPr>
          <w:p>
            <w:r>
              <w:rPr>
                <w:rFonts w:ascii="Calibri" w:hAnsi="Calibri"/>
                <w:sz w:val="22"/>
              </w:rPr>
              <w:t>$14.65–$14.80B</w:t>
            </w:r>
          </w:p>
        </w:tc>
        <w:tc>
          <w:tcPr>
            <w:tcW w:type="dxa" w:w="1234"/>
          </w:tcPr>
          <w:p>
            <w:r>
              <w:rPr>
                <w:rFonts w:ascii="Calibri" w:hAnsi="Calibri"/>
                <w:sz w:val="22"/>
              </w:rPr>
              <w:t>−0.1% vs. mid</w:t>
            </w:r>
          </w:p>
        </w:tc>
      </w:tr>
      <w:tr>
        <w:tc>
          <w:tcPr>
            <w:tcW w:type="dxa" w:w="1234"/>
          </w:tcPr>
          <w:p>
            <w:r>
              <w:rPr>
                <w:rFonts w:ascii="Calibri" w:hAnsi="Calibri"/>
                <w:sz w:val="22"/>
              </w:rPr>
              <w:t>Adj. EPS (Diluted Operating)</w:t>
            </w:r>
          </w:p>
        </w:tc>
        <w:tc>
          <w:tcPr>
            <w:tcW w:type="dxa" w:w="1234"/>
          </w:tcPr>
          <w:p>
            <w:r>
              <w:rPr>
                <w:rFonts w:ascii="Calibri" w:hAnsi="Calibri"/>
                <w:sz w:val="22"/>
              </w:rPr>
              <w:t>$4.25</w:t>
            </w:r>
          </w:p>
        </w:tc>
        <w:tc>
          <w:tcPr>
            <w:tcW w:type="dxa" w:w="1234"/>
          </w:tcPr>
          <w:p>
            <w:r>
              <w:rPr>
                <w:rFonts w:ascii="Calibri" w:hAnsi="Calibri"/>
                <w:sz w:val="22"/>
              </w:rPr>
              <w:t>$4.35</w:t>
            </w:r>
          </w:p>
        </w:tc>
        <w:tc>
          <w:tcPr>
            <w:tcW w:type="dxa" w:w="1234"/>
          </w:tcPr>
          <w:p>
            <w:r>
              <w:rPr>
                <w:rFonts w:ascii="Calibri" w:hAnsi="Calibri"/>
                <w:sz w:val="22"/>
              </w:rPr>
              <w:t>$4.78</w:t>
            </w:r>
          </w:p>
        </w:tc>
        <w:tc>
          <w:tcPr>
            <w:tcW w:type="dxa" w:w="1234"/>
          </w:tcPr>
          <w:p>
            <w:r>
              <w:rPr>
                <w:rFonts w:ascii="Calibri" w:hAnsi="Calibri"/>
                <w:sz w:val="22"/>
              </w:rPr>
              <w:t>+9.9%</w:t>
            </w:r>
          </w:p>
        </w:tc>
        <w:tc>
          <w:tcPr>
            <w:tcW w:type="dxa" w:w="1234"/>
          </w:tcPr>
          <w:p>
            <w:r>
              <w:rPr>
                <w:rFonts w:ascii="Calibri" w:hAnsi="Calibri"/>
                <w:sz w:val="22"/>
              </w:rPr>
              <w:t>$17.70–$18.35</w:t>
            </w:r>
          </w:p>
        </w:tc>
        <w:tc>
          <w:tcPr>
            <w:tcW w:type="dxa" w:w="1234"/>
          </w:tcPr>
          <w:p>
            <w:r>
              <w:rPr>
                <w:rFonts w:ascii="Calibri" w:hAnsi="Calibri"/>
                <w:sz w:val="22"/>
              </w:rPr>
              <w:t>−0.5% vs. mid</w:t>
            </w:r>
          </w:p>
        </w:tc>
      </w:tr>
      <w:tr>
        <w:tc>
          <w:tcPr>
            <w:tcW w:type="dxa" w:w="1234"/>
          </w:tcPr>
          <w:p>
            <w:r>
              <w:rPr>
                <w:rFonts w:ascii="Calibri" w:hAnsi="Calibri"/>
                <w:sz w:val="22"/>
              </w:rPr>
              <w:t>Diagnostics (LCD) Revenue ($B)</w:t>
            </w:r>
          </w:p>
        </w:tc>
        <w:tc>
          <w:tcPr>
            <w:tcW w:type="dxa" w:w="1234"/>
          </w:tcPr>
          <w:p>
            <w:r>
              <w:rPr>
                <w:rFonts w:ascii="Calibri" w:hAnsi="Calibri"/>
                <w:sz w:val="22"/>
              </w:rPr>
              <w:t>$2.762B</w:t>
            </w:r>
          </w:p>
        </w:tc>
        <w:tc>
          <w:tcPr>
            <w:tcW w:type="dxa" w:w="1234"/>
          </w:tcPr>
          <w:p>
            <w:r>
              <w:rPr>
                <w:rFonts w:ascii="Calibri" w:hAnsi="Calibri"/>
                <w:sz w:val="22"/>
              </w:rPr>
              <w:t>$2.749B</w:t>
            </w:r>
          </w:p>
        </w:tc>
        <w:tc>
          <w:tcPr>
            <w:tcW w:type="dxa" w:w="1234"/>
          </w:tcPr>
          <w:p>
            <w:r>
              <w:rPr>
                <w:rFonts w:ascii="Calibri" w:hAnsi="Calibri"/>
                <w:sz w:val="22"/>
              </w:rPr>
              <w:t>$2.912B</w:t>
            </w:r>
          </w:p>
        </w:tc>
        <w:tc>
          <w:tcPr>
            <w:tcW w:type="dxa" w:w="1234"/>
          </w:tcPr>
          <w:p>
            <w:r>
              <w:rPr>
                <w:rFonts w:ascii="Calibri" w:hAnsi="Calibri"/>
                <w:sz w:val="22"/>
              </w:rPr>
              <w:t>+5.9%</w:t>
            </w:r>
          </w:p>
        </w:tc>
        <w:tc>
          <w:tcPr>
            <w:tcW w:type="dxa" w:w="1234"/>
          </w:tcPr>
          <w:p>
            <w:r>
              <w:rPr>
                <w:rFonts w:ascii="Calibri" w:hAnsi="Calibri"/>
                <w:sz w:val="22"/>
              </w:rPr>
              <w:t>$11.43–$11.52B</w:t>
            </w:r>
          </w:p>
        </w:tc>
        <w:tc>
          <w:tcPr>
            <w:tcW w:type="dxa" w:w="1234"/>
          </w:tcPr>
          <w:p>
            <w:r>
              <w:rPr>
                <w:rFonts w:ascii="Calibri" w:hAnsi="Calibri"/>
                <w:sz w:val="22"/>
              </w:rPr>
              <w:t>−0.1% vs. mid</w:t>
            </w:r>
          </w:p>
        </w:tc>
      </w:tr>
      <w:tr>
        <w:tc>
          <w:tcPr>
            <w:tcW w:type="dxa" w:w="1234"/>
          </w:tcPr>
          <w:p>
            <w:r>
              <w:rPr>
                <w:rFonts w:ascii="Calibri" w:hAnsi="Calibri"/>
                <w:sz w:val="22"/>
              </w:rPr>
              <w:t>BLS Revenue ($B)</w:t>
            </w:r>
          </w:p>
        </w:tc>
        <w:tc>
          <w:tcPr>
            <w:tcW w:type="dxa" w:w="1234"/>
          </w:tcPr>
          <w:p>
            <w:r>
              <w:rPr>
                <w:rFonts w:ascii="Calibri" w:hAnsi="Calibri"/>
                <w:sz w:val="22"/>
              </w:rPr>
              <w:t>$0.781B</w:t>
            </w:r>
          </w:p>
        </w:tc>
        <w:tc>
          <w:tcPr>
            <w:tcW w:type="dxa" w:w="1234"/>
          </w:tcPr>
          <w:p>
            <w:r>
              <w:rPr>
                <w:rFonts w:ascii="Calibri" w:hAnsi="Calibri"/>
                <w:sz w:val="22"/>
              </w:rPr>
              <w:t>$0.785B</w:t>
            </w:r>
          </w:p>
        </w:tc>
        <w:tc>
          <w:tcPr>
            <w:tcW w:type="dxa" w:w="1234"/>
          </w:tcPr>
          <w:p>
            <w:r>
              <w:rPr>
                <w:rFonts w:ascii="Calibri" w:hAnsi="Calibri"/>
                <w:sz w:val="22"/>
              </w:rPr>
              <w:t>$0.805B</w:t>
            </w:r>
          </w:p>
        </w:tc>
        <w:tc>
          <w:tcPr>
            <w:tcW w:type="dxa" w:w="1234"/>
          </w:tcPr>
          <w:p>
            <w:r>
              <w:rPr>
                <w:rFonts w:ascii="Calibri" w:hAnsi="Calibri"/>
                <w:sz w:val="22"/>
              </w:rPr>
              <w:t>+2.5%</w:t>
            </w:r>
          </w:p>
        </w:tc>
        <w:tc>
          <w:tcPr>
            <w:tcW w:type="dxa" w:w="1234"/>
          </w:tcPr>
          <w:p>
            <w:r>
              <w:rPr>
                <w:rFonts w:ascii="Calibri" w:hAnsi="Calibri"/>
                <w:sz w:val="22"/>
              </w:rPr>
              <w:t>$3.22–$3.27B</w:t>
            </w:r>
          </w:p>
        </w:tc>
        <w:tc>
          <w:tcPr>
            <w:tcW w:type="dxa" w:w="1234"/>
          </w:tcPr>
          <w:p>
            <w:r>
              <w:rPr>
                <w:rFonts w:ascii="Calibri" w:hAnsi="Calibri"/>
                <w:sz w:val="22"/>
              </w:rPr>
              <w:t>−0.2% vs. mid</w:t>
            </w:r>
          </w:p>
        </w:tc>
      </w:tr>
      <w:tr>
        <w:tc>
          <w:tcPr>
            <w:tcW w:type="dxa" w:w="1234"/>
          </w:tcPr>
          <w:p>
            <w:r>
              <w:rPr>
                <w:rFonts w:ascii="Calibri" w:hAnsi="Calibri"/>
                <w:sz w:val="22"/>
              </w:rPr>
              <w:t>LCD Organic Vol. Growth (%)</w:t>
            </w:r>
          </w:p>
        </w:tc>
        <w:tc>
          <w:tcPr>
            <w:tcW w:type="dxa" w:w="1234"/>
          </w:tcPr>
          <w:p>
            <w:r>
              <w:rPr>
                <w:rFonts w:ascii="Calibri" w:hAnsi="Calibri"/>
                <w:sz w:val="22"/>
              </w:rPr>
              <w:t>1.1%</w:t>
            </w:r>
          </w:p>
        </w:tc>
        <w:tc>
          <w:tcPr>
            <w:tcW w:type="dxa" w:w="1234"/>
          </w:tcPr>
          <w:p>
            <w:r>
              <w:rPr>
                <w:rFonts w:ascii="Calibri" w:hAnsi="Calibri"/>
                <w:sz w:val="22"/>
              </w:rPr>
              <w:t>3.4%</w:t>
            </w:r>
          </w:p>
        </w:tc>
        <w:tc>
          <w:tcPr>
            <w:tcW w:type="dxa" w:w="1234"/>
          </w:tcPr>
          <w:p>
            <w:r>
              <w:rPr>
                <w:rFonts w:ascii="Calibri" w:hAnsi="Calibri"/>
                <w:sz w:val="22"/>
              </w:rPr>
              <w:t>~2.2%</w:t>
            </w:r>
          </w:p>
        </w:tc>
        <w:tc>
          <w:tcPr>
            <w:tcW w:type="dxa" w:w="1234"/>
          </w:tcPr>
          <w:p>
            <w:r>
              <w:rPr>
                <w:rFonts w:ascii="Calibri" w:hAnsi="Calibri"/>
                <w:sz w:val="22"/>
              </w:rPr>
              <w:t>~(120 bps)</w:t>
            </w:r>
          </w:p>
        </w:tc>
        <w:tc>
          <w:tcPr>
            <w:tcW w:type="dxa" w:w="1234"/>
          </w:tcPr>
          <w:p>
            <w:r>
              <w:rPr>
                <w:rFonts w:ascii="Calibri" w:hAnsi="Calibri"/>
                <w:sz w:val="22"/>
              </w:rPr>
              <w:t>Majority organic; ~50/50 vol/price</w:t>
            </w:r>
          </w:p>
        </w:tc>
        <w:tc>
          <w:tcPr>
            <w:tcW w:type="dxa" w:w="1234"/>
          </w:tcPr>
          <w:p>
            <w:r>
              <w:rPr>
                <w:rFonts w:ascii="Calibri" w:hAnsi="Calibri"/>
                <w:sz w:val="22"/>
              </w:rPr>
              <w:t>N/A</w:t>
            </w:r>
          </w:p>
        </w:tc>
      </w:tr>
      <w:tr>
        <w:tc>
          <w:tcPr>
            <w:tcW w:type="dxa" w:w="1234"/>
          </w:tcPr>
          <w:p>
            <w:r>
              <w:rPr>
                <w:rFonts w:ascii="Calibri" w:hAnsi="Calibri"/>
                <w:sz w:val="22"/>
              </w:rPr>
              <w:t>BLS Book-to-Bill (Quarterly, x)</w:t>
            </w:r>
          </w:p>
        </w:tc>
        <w:tc>
          <w:tcPr>
            <w:tcW w:type="dxa" w:w="1234"/>
          </w:tcPr>
          <w:p>
            <w:r>
              <w:rPr>
                <w:rFonts w:ascii="Calibri" w:hAnsi="Calibri"/>
                <w:sz w:val="22"/>
              </w:rPr>
              <w:t>0.94x</w:t>
            </w:r>
          </w:p>
        </w:tc>
        <w:tc>
          <w:tcPr>
            <w:tcW w:type="dxa" w:w="1234"/>
          </w:tcPr>
          <w:p>
            <w:r>
              <w:rPr>
                <w:rFonts w:ascii="Calibri" w:hAnsi="Calibri"/>
                <w:sz w:val="22"/>
              </w:rPr>
              <w:t>1.18x</w:t>
            </w:r>
          </w:p>
        </w:tc>
        <w:tc>
          <w:tcPr>
            <w:tcW w:type="dxa" w:w="1234"/>
          </w:tcPr>
          <w:p>
            <w:r>
              <w:rPr>
                <w:rFonts w:ascii="Calibri" w:hAnsi="Calibri"/>
                <w:sz w:val="22"/>
              </w:rPr>
              <w:t>~1.12x</w:t>
            </w:r>
          </w:p>
        </w:tc>
        <w:tc>
          <w:tcPr>
            <w:tcW w:type="dxa" w:w="1234"/>
          </w:tcPr>
          <w:p>
            <w:r>
              <w:rPr>
                <w:rFonts w:ascii="Calibri" w:hAnsi="Calibri"/>
                <w:sz w:val="22"/>
              </w:rPr>
              <w:t>~(60 bps)</w:t>
            </w:r>
          </w:p>
        </w:tc>
        <w:tc>
          <w:tcPr>
            <w:tcW w:type="dxa" w:w="1234"/>
          </w:tcPr>
          <w:p>
            <w:r>
              <w:rPr>
                <w:rFonts w:ascii="Calibri" w:hAnsi="Calibri"/>
                <w:sz w:val="22"/>
              </w:rPr>
              <w:t>Sequential improvement guided</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$0.071B</w:t>
            </w:r>
          </w:p>
        </w:tc>
        <w:tc>
          <w:tcPr>
            <w:tcW w:type="dxa" w:w="1234"/>
          </w:tcPr>
          <w:p>
            <w:r>
              <w:rPr>
                <w:rFonts w:ascii="Calibri" w:hAnsi="Calibri"/>
                <w:sz w:val="22"/>
              </w:rPr>
              <w:t>$0.543B</w:t>
            </w:r>
          </w:p>
        </w:tc>
        <w:tc>
          <w:tcPr>
            <w:tcW w:type="dxa" w:w="1234"/>
          </w:tcPr>
          <w:p>
            <w:r>
              <w:rPr>
                <w:rFonts w:ascii="Calibri" w:hAnsi="Calibri"/>
                <w:sz w:val="22"/>
              </w:rPr>
              <w:t>$0.482B</w:t>
            </w:r>
          </w:p>
        </w:tc>
        <w:tc>
          <w:tcPr>
            <w:tcW w:type="dxa" w:w="1234"/>
          </w:tcPr>
          <w:p>
            <w:r>
              <w:rPr>
                <w:rFonts w:ascii="Calibri" w:hAnsi="Calibri"/>
                <w:sz w:val="22"/>
              </w:rPr>
              <w:t>−11.3%</w:t>
            </w:r>
          </w:p>
        </w:tc>
        <w:tc>
          <w:tcPr>
            <w:tcW w:type="dxa" w:w="1234"/>
          </w:tcPr>
          <w:p>
            <w:r>
              <w:rPr>
                <w:rFonts w:ascii="Calibri" w:hAnsi="Calibri"/>
                <w:sz w:val="22"/>
              </w:rPr>
              <w:t>$1.24–$1.36B (FY)</w:t>
            </w:r>
          </w:p>
        </w:tc>
        <w:tc>
          <w:tcPr>
            <w:tcW w:type="dxa" w:w="1234"/>
          </w:tcPr>
          <w:p>
            <w:r>
              <w:rPr>
                <w:rFonts w:ascii="Calibri" w:hAnsi="Calibri"/>
                <w:sz w:val="22"/>
              </w:rPr>
              <w:t>N/A</w:t>
            </w:r>
          </w:p>
        </w:tc>
      </w:tr>
    </w:tbl>
    <w:p>
      <w:r>
        <w:rPr>
          <w:rFonts w:ascii="Calibri" w:hAnsi="Calibri"/>
          <w:i/>
          <w:color w:val="525866"/>
          <w:sz w:val="22"/>
        </w:rPr>
        <w:t>Sources: Visible Alpha Consensus and Actuals Data (Net sales, EPS – diluted – operating, Labcorp Diagnostics, Biopharma Laboratory Services, Organic volume growth, Book-to-bill ratio, Analyst FCF). Guidance from LH Q1 2026 Earnings Release (April 30, 2026). Consensus vs. guidance delta calculated vs. midpoint of FY 2026 guidance range.</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$3.538B</w:t>
            </w:r>
          </w:p>
        </w:tc>
        <w:tc>
          <w:tcPr>
            <w:tcW w:type="dxa" w:w="1728"/>
          </w:tcPr>
          <w:p>
            <w:r>
              <w:rPr>
                <w:rFonts w:ascii="Calibri" w:hAnsi="Calibri"/>
                <w:sz w:val="22"/>
              </w:rPr>
              <w:t>$3.506B</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$3.516B</w:t>
            </w:r>
          </w:p>
        </w:tc>
        <w:tc>
          <w:tcPr>
            <w:tcW w:type="dxa" w:w="1728"/>
          </w:tcPr>
          <w:p>
            <w:r>
              <w:rPr>
                <w:rFonts w:ascii="Calibri" w:hAnsi="Calibri"/>
                <w:sz w:val="22"/>
              </w:rPr>
              <w:t>$3.567B</w:t>
            </w:r>
          </w:p>
        </w:tc>
        <w:tc>
          <w:tcPr>
            <w:tcW w:type="dxa" w:w="1728"/>
          </w:tcPr>
          <w:p>
            <w:r>
              <w:rPr>
                <w:rFonts w:ascii="Calibri" w:hAnsi="Calibri"/>
                <w:sz w:val="22"/>
              </w:rPr>
              <w:t>−1.4%</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$3.564B</w:t>
            </w:r>
          </w:p>
        </w:tc>
        <w:tc>
          <w:tcPr>
            <w:tcW w:type="dxa" w:w="1728"/>
          </w:tcPr>
          <w:p>
            <w:r>
              <w:rPr>
                <w:rFonts w:ascii="Calibri" w:hAnsi="Calibri"/>
                <w:sz w:val="22"/>
              </w:rPr>
              <w:t>$3.556B</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$3.527B</w:t>
            </w:r>
          </w:p>
        </w:tc>
        <w:tc>
          <w:tcPr>
            <w:tcW w:type="dxa" w:w="1728"/>
          </w:tcPr>
          <w:p>
            <w:r>
              <w:rPr>
                <w:rFonts w:ascii="Calibri" w:hAnsi="Calibri"/>
                <w:sz w:val="22"/>
              </w:rPr>
              <w:t>$3.493B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$3.345B</w:t>
            </w:r>
          </w:p>
        </w:tc>
        <w:tc>
          <w:tcPr>
            <w:tcW w:type="dxa" w:w="1728"/>
          </w:tcPr>
          <w:p>
            <w:r>
              <w:rPr>
                <w:rFonts w:ascii="Calibri" w:hAnsi="Calibri"/>
                <w:sz w:val="22"/>
              </w:rPr>
              <w:t>$3.409B</w:t>
            </w:r>
          </w:p>
        </w:tc>
        <w:tc>
          <w:tcPr>
            <w:tcW w:type="dxa" w:w="1728"/>
          </w:tcPr>
          <w:p>
            <w:r>
              <w:rPr>
                <w:rFonts w:ascii="Calibri" w:hAnsi="Calibri"/>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$3.329B</w:t>
            </w:r>
          </w:p>
        </w:tc>
        <w:tc>
          <w:tcPr>
            <w:tcW w:type="dxa" w:w="1728"/>
          </w:tcPr>
          <w:p>
            <w:r>
              <w:rPr>
                <w:rFonts w:ascii="Calibri" w:hAnsi="Calibri"/>
                <w:sz w:val="22"/>
              </w:rPr>
              <w:t>$3.311B</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$3.282B</w:t>
            </w:r>
          </w:p>
        </w:tc>
        <w:tc>
          <w:tcPr>
            <w:tcW w:type="dxa" w:w="1728"/>
          </w:tcPr>
          <w:p>
            <w:r>
              <w:rPr>
                <w:rFonts w:ascii="Calibri" w:hAnsi="Calibri"/>
                <w:sz w:val="22"/>
              </w:rPr>
              <w:t>$3.267B</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$3.273B</w:t>
            </w:r>
          </w:p>
        </w:tc>
        <w:tc>
          <w:tcPr>
            <w:tcW w:type="dxa" w:w="1728"/>
          </w:tcPr>
          <w:p>
            <w:r>
              <w:rPr>
                <w:rFonts w:ascii="Calibri" w:hAnsi="Calibri"/>
                <w:sz w:val="22"/>
              </w:rPr>
              <w:t>N/A — pre-VA window</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LH has beaten revenue consensus in 5 of the last 7 reported quarters, with misses concentrated in Q1 2025 (weather headwind) and Q4 2025 (softer consumer health). Beats have been modest (+0.2% to +1.0%), suggesting the Street calibrates well but consistently underestimates slightly. Source: Visible Alpha Consensus and Actuals Data.</w:t>
      </w:r>
    </w:p>
    <w:p>
      <w:pPr>
        <w:pStyle w:val="Heading3"/>
      </w:pPr>
      <w:r>
        <w:rPr>
          <w:rFonts w:ascii="Calibri" w:hAnsi="Calibri"/>
          <w:b/>
          <w:color w:val="3B4259"/>
          <w:sz w:val="24"/>
        </w:rPr>
        <w:t>Top KPI #2: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$4.25</w:t>
            </w:r>
          </w:p>
        </w:tc>
        <w:tc>
          <w:tcPr>
            <w:tcW w:type="dxa" w:w="1728"/>
          </w:tcPr>
          <w:p>
            <w:r>
              <w:rPr>
                <w:rFonts w:ascii="Calibri" w:hAnsi="Calibri"/>
                <w:sz w:val="22"/>
              </w:rPr>
              <w:t>$4.11</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$4.07</w:t>
            </w:r>
          </w:p>
        </w:tc>
        <w:tc>
          <w:tcPr>
            <w:tcW w:type="dxa" w:w="1728"/>
          </w:tcPr>
          <w:p>
            <w:r>
              <w:rPr>
                <w:rFonts w:ascii="Calibri" w:hAnsi="Calibri"/>
                <w:sz w:val="22"/>
              </w:rPr>
              <w:t>$3.96</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$4.18</w:t>
            </w:r>
          </w:p>
        </w:tc>
        <w:tc>
          <w:tcPr>
            <w:tcW w:type="dxa" w:w="1728"/>
          </w:tcPr>
          <w:p>
            <w:r>
              <w:rPr>
                <w:rFonts w:ascii="Calibri" w:hAnsi="Calibri"/>
                <w:sz w:val="22"/>
              </w:rPr>
              <w:t>$4.13</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$4.35</w:t>
            </w:r>
          </w:p>
        </w:tc>
        <w:tc>
          <w:tcPr>
            <w:tcW w:type="dxa" w:w="1728"/>
          </w:tcPr>
          <w:p>
            <w:r>
              <w:rPr>
                <w:rFonts w:ascii="Calibri" w:hAnsi="Calibri"/>
                <w:sz w:val="22"/>
              </w:rPr>
              <w:t>$4.17</w:t>
            </w:r>
          </w:p>
        </w:tc>
        <w:tc>
          <w:tcPr>
            <w:tcW w:type="dxa" w:w="1728"/>
          </w:tcPr>
          <w:p>
            <w:r>
              <w:rPr>
                <w:rFonts w:ascii="Calibri" w:hAnsi="Calibri"/>
                <w:sz w:val="22"/>
              </w:rPr>
              <w:t>+4.3%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$3.84</w:t>
            </w:r>
          </w:p>
        </w:tc>
        <w:tc>
          <w:tcPr>
            <w:tcW w:type="dxa" w:w="1728"/>
          </w:tcPr>
          <w:p>
            <w:r>
              <w:rPr>
                <w:rFonts w:ascii="Calibri" w:hAnsi="Calibri"/>
                <w:sz w:val="22"/>
              </w:rPr>
              <w:t>$3.72</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$3.45</w:t>
            </w:r>
          </w:p>
        </w:tc>
        <w:tc>
          <w:tcPr>
            <w:tcW w:type="dxa" w:w="1728"/>
          </w:tcPr>
          <w:p>
            <w:r>
              <w:rPr>
                <w:rFonts w:ascii="Calibri" w:hAnsi="Calibri"/>
                <w:sz w:val="22"/>
              </w:rPr>
              <w:t>$3.39</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$3.50</w:t>
            </w:r>
          </w:p>
        </w:tc>
        <w:tc>
          <w:tcPr>
            <w:tcW w:type="dxa" w:w="1728"/>
          </w:tcPr>
          <w:p>
            <w:r>
              <w:rPr>
                <w:rFonts w:ascii="Calibri" w:hAnsi="Calibri"/>
                <w:sz w:val="22"/>
              </w:rPr>
              <w:t>$3.51</w:t>
            </w:r>
          </w:p>
        </w:tc>
        <w:tc>
          <w:tcPr>
            <w:tcW w:type="dxa" w:w="1728"/>
          </w:tcPr>
          <w:p>
            <w:r>
              <w:rPr>
                <w:rFonts w:ascii="Calibri" w:hAnsi="Calibri"/>
                <w:sz w:val="22"/>
              </w:rPr>
              <w:t>−0.3%</w:t>
            </w:r>
          </w:p>
        </w:tc>
        <w:tc>
          <w:tcPr>
            <w:tcW w:type="dxa" w:w="1728"/>
          </w:tcPr>
          <w:p>
            <w:r>
              <w:rPr>
                <w:rFonts w:ascii="Calibri" w:hAnsi="Calibri"/>
                <w:b/>
                <w:color w:val="30A46C"/>
                <w:sz w:val="22"/>
              </w:rPr>
              <w:t>In-Line</w:t>
            </w:r>
          </w:p>
        </w:tc>
      </w:tr>
      <w:tr>
        <w:tc>
          <w:tcPr>
            <w:tcW w:type="dxa" w:w="1728"/>
          </w:tcPr>
          <w:p>
            <w:r>
              <w:rPr>
                <w:rFonts w:ascii="Calibri" w:hAnsi="Calibri"/>
                <w:sz w:val="22"/>
              </w:rPr>
              <w:t>Q2 2024</w:t>
            </w:r>
          </w:p>
        </w:tc>
        <w:tc>
          <w:tcPr>
            <w:tcW w:type="dxa" w:w="1728"/>
          </w:tcPr>
          <w:p>
            <w:r>
              <w:rPr>
                <w:rFonts w:ascii="Calibri" w:hAnsi="Calibri"/>
                <w:sz w:val="22"/>
              </w:rPr>
              <w:t>N/A — pre-VA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LH has beaten adjusted EPS consensus in 7 of the last 7 reported quarters, with beats ranging from +1.2% to +4.3% — a remarkably consistent track record. The Street appears to systematically underestimate Labcorp's margin execution and operating leverage. This pattern supports a constructive setup into Q2.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was raised at the Q1 print and reaffirmed with confidence at the June Jefferies conference — no post-earnings revisions since. Management tone is explicitly optimistic heading into Q2, with Early Development streamlining on track and book-to-bill recovery expected.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Enterprise Revenue (FY 2026)</w:t>
            </w:r>
          </w:p>
        </w:tc>
        <w:tc>
          <w:tcPr>
            <w:tcW w:type="dxa" w:w="1728"/>
          </w:tcPr>
          <w:p>
            <w:r>
              <w:rPr>
                <w:rFonts w:ascii="Calibri" w:hAnsi="Calibri"/>
                <w:sz w:val="22"/>
              </w:rPr>
              <w:t>$14.65B–$14.80B (+5.0%–6.1%)</w:t>
            </w:r>
          </w:p>
        </w:tc>
        <w:tc>
          <w:tcPr>
            <w:tcW w:type="dxa" w:w="1728"/>
          </w:tcPr>
          <w:p>
            <w:r>
              <w:rPr>
                <w:rFonts w:ascii="Calibri" w:hAnsi="Calibri"/>
                <w:sz w:val="22"/>
              </w:rPr>
              <w:t>—</w:t>
            </w:r>
          </w:p>
        </w:tc>
        <w:tc>
          <w:tcPr>
            <w:tcW w:type="dxa" w:w="1728"/>
          </w:tcPr>
          <w:p>
            <w:r>
              <w:rPr>
                <w:rFonts w:ascii="Calibri" w:hAnsi="Calibri"/>
                <w:sz w:val="22"/>
              </w:rPr>
              <w:t>$14.72B</w:t>
            </w:r>
          </w:p>
        </w:tc>
        <w:tc>
          <w:tcPr>
            <w:tcW w:type="dxa" w:w="1728"/>
          </w:tcPr>
          <w:p>
            <w:r>
              <w:rPr>
                <w:rFonts w:ascii="Calibri" w:hAnsi="Calibri"/>
                <w:sz w:val="22"/>
              </w:rPr>
              <w:t>Raised at Q1 print (+$30M midpoint vs. prior guide); reaffirmed at Jefferies Jun 3</w:t>
            </w:r>
          </w:p>
        </w:tc>
      </w:tr>
      <w:tr>
        <w:tc>
          <w:tcPr>
            <w:tcW w:type="dxa" w:w="1728"/>
          </w:tcPr>
          <w:p>
            <w:r>
              <w:rPr>
                <w:rFonts w:ascii="Calibri" w:hAnsi="Calibri"/>
                <w:sz w:val="22"/>
              </w:rPr>
              <w:t>Diagnostics Revenue (FY 2026)</w:t>
            </w:r>
          </w:p>
        </w:tc>
        <w:tc>
          <w:tcPr>
            <w:tcW w:type="dxa" w:w="1728"/>
          </w:tcPr>
          <w:p>
            <w:r>
              <w:rPr>
                <w:rFonts w:ascii="Calibri" w:hAnsi="Calibri"/>
                <w:sz w:val="22"/>
              </w:rPr>
              <w:t>$11.43B–$11.52B (+5.1%–5.9%)</w:t>
            </w:r>
          </w:p>
        </w:tc>
        <w:tc>
          <w:tcPr>
            <w:tcW w:type="dxa" w:w="1728"/>
          </w:tcPr>
          <w:p>
            <w:r>
              <w:rPr>
                <w:rFonts w:ascii="Calibri" w:hAnsi="Calibri"/>
                <w:sz w:val="22"/>
              </w:rPr>
              <w:t>—</w:t>
            </w:r>
          </w:p>
        </w:tc>
        <w:tc>
          <w:tcPr>
            <w:tcW w:type="dxa" w:w="1728"/>
          </w:tcPr>
          <w:p>
            <w:r>
              <w:rPr>
                <w:rFonts w:ascii="Calibri" w:hAnsi="Calibri"/>
                <w:sz w:val="22"/>
              </w:rPr>
              <w:t>$11.49B</w:t>
            </w:r>
          </w:p>
        </w:tc>
        <w:tc>
          <w:tcPr>
            <w:tcW w:type="dxa" w:w="1728"/>
          </w:tcPr>
          <w:p>
            <w:r>
              <w:rPr>
                <w:rFonts w:ascii="Calibri" w:hAnsi="Calibri"/>
                <w:sz w:val="22"/>
              </w:rPr>
              <w:t>Majority organic; vol/price ~50/50; reaffirmed Jun 3</w:t>
            </w:r>
          </w:p>
        </w:tc>
      </w:tr>
      <w:tr>
        <w:tc>
          <w:tcPr>
            <w:tcW w:type="dxa" w:w="1728"/>
          </w:tcPr>
          <w:p>
            <w:r>
              <w:rPr>
                <w:rFonts w:ascii="Calibri" w:hAnsi="Calibri"/>
                <w:sz w:val="22"/>
              </w:rPr>
              <w:t>BLS Revenue (FY 2026)</w:t>
            </w:r>
          </w:p>
        </w:tc>
        <w:tc>
          <w:tcPr>
            <w:tcW w:type="dxa" w:w="1728"/>
          </w:tcPr>
          <w:p>
            <w:r>
              <w:rPr>
                <w:rFonts w:ascii="Calibri" w:hAnsi="Calibri"/>
                <w:sz w:val="22"/>
              </w:rPr>
              <w:t>$3.22B–$3.27B (+3.8%–5.4%)</w:t>
            </w:r>
          </w:p>
        </w:tc>
        <w:tc>
          <w:tcPr>
            <w:tcW w:type="dxa" w:w="1728"/>
          </w:tcPr>
          <w:p>
            <w:r>
              <w:rPr>
                <w:rFonts w:ascii="Calibri" w:hAnsi="Calibri"/>
                <w:sz w:val="22"/>
              </w:rPr>
              <w:t>—</w:t>
            </w:r>
          </w:p>
        </w:tc>
        <w:tc>
          <w:tcPr>
            <w:tcW w:type="dxa" w:w="1728"/>
          </w:tcPr>
          <w:p>
            <w:r>
              <w:rPr>
                <w:rFonts w:ascii="Calibri" w:hAnsi="Calibri"/>
                <w:sz w:val="22"/>
              </w:rPr>
              <w:t>$3.24B</w:t>
            </w:r>
          </w:p>
        </w:tc>
        <w:tc>
          <w:tcPr>
            <w:tcW w:type="dxa" w:w="1728"/>
          </w:tcPr>
          <w:p>
            <w:r>
              <w:rPr>
                <w:rFonts w:ascii="Calibri" w:hAnsi="Calibri"/>
                <w:sz w:val="22"/>
              </w:rPr>
              <w:t>Incorporates ~$40M ED divestiture headwind; Central Labs mid-SD growth; reaffirmed Jun 3</w:t>
            </w:r>
          </w:p>
        </w:tc>
      </w:tr>
      <w:tr>
        <w:tc>
          <w:tcPr>
            <w:tcW w:type="dxa" w:w="1728"/>
          </w:tcPr>
          <w:p>
            <w:r>
              <w:rPr>
                <w:rFonts w:ascii="Calibri" w:hAnsi="Calibri"/>
                <w:sz w:val="22"/>
              </w:rPr>
              <w:t>Adjusted EPS (FY 2026)</w:t>
            </w:r>
          </w:p>
        </w:tc>
        <w:tc>
          <w:tcPr>
            <w:tcW w:type="dxa" w:w="1728"/>
          </w:tcPr>
          <w:p>
            <w:r>
              <w:rPr>
                <w:rFonts w:ascii="Calibri" w:hAnsi="Calibri"/>
                <w:sz w:val="22"/>
              </w:rPr>
              <w:t>$17.70–$18.35 (~10% growth at mid)</w:t>
            </w:r>
          </w:p>
        </w:tc>
        <w:tc>
          <w:tcPr>
            <w:tcW w:type="dxa" w:w="1728"/>
          </w:tcPr>
          <w:p>
            <w:r>
              <w:rPr>
                <w:rFonts w:ascii="Calibri" w:hAnsi="Calibri"/>
                <w:sz w:val="22"/>
              </w:rPr>
              <w:t>—</w:t>
            </w:r>
          </w:p>
        </w:tc>
        <w:tc>
          <w:tcPr>
            <w:tcW w:type="dxa" w:w="1728"/>
          </w:tcPr>
          <w:p>
            <w:r>
              <w:rPr>
                <w:rFonts w:ascii="Calibri" w:hAnsi="Calibri"/>
                <w:sz w:val="22"/>
              </w:rPr>
              <w:t>$18.05</w:t>
            </w:r>
          </w:p>
        </w:tc>
        <w:tc>
          <w:tcPr>
            <w:tcW w:type="dxa" w:w="1728"/>
          </w:tcPr>
          <w:p>
            <w:r>
              <w:rPr>
                <w:rFonts w:ascii="Calibri" w:hAnsi="Calibri"/>
                <w:sz w:val="22"/>
              </w:rPr>
              <w:t>Raised midpoint by $0.13 at Q1; reaffirmed Jun 3 with explicit 10% growth target</w:t>
            </w:r>
          </w:p>
        </w:tc>
      </w:tr>
      <w:tr>
        <w:tc>
          <w:tcPr>
            <w:tcW w:type="dxa" w:w="1728"/>
          </w:tcPr>
          <w:p>
            <w:r>
              <w:rPr>
                <w:rFonts w:ascii="Calibri" w:hAnsi="Calibri"/>
                <w:sz w:val="22"/>
              </w:rPr>
              <w:t>Free Cash Flow (FY 2026)</w:t>
            </w:r>
          </w:p>
        </w:tc>
        <w:tc>
          <w:tcPr>
            <w:tcW w:type="dxa" w:w="1728"/>
          </w:tcPr>
          <w:p>
            <w:r>
              <w:rPr>
                <w:rFonts w:ascii="Calibri" w:hAnsi="Calibri"/>
                <w:sz w:val="22"/>
              </w:rPr>
              <w:t>$1.24B–$1.36B</w:t>
            </w:r>
          </w:p>
        </w:tc>
        <w:tc>
          <w:tcPr>
            <w:tcW w:type="dxa" w:w="1728"/>
          </w:tcPr>
          <w:p>
            <w:r>
              <w:rPr>
                <w:rFonts w:ascii="Calibri" w:hAnsi="Calibri"/>
                <w:sz w:val="22"/>
              </w:rPr>
              <w:t>—</w:t>
            </w:r>
          </w:p>
        </w:tc>
        <w:tc>
          <w:tcPr>
            <w:tcW w:type="dxa" w:w="1728"/>
          </w:tcPr>
          <w:p>
            <w:r>
              <w:rPr>
                <w:rFonts w:ascii="Calibri" w:hAnsi="Calibri"/>
                <w:sz w:val="22"/>
              </w:rPr>
              <w:t>$1.28B</w:t>
            </w:r>
          </w:p>
        </w:tc>
        <w:tc>
          <w:tcPr>
            <w:tcW w:type="dxa" w:w="1728"/>
          </w:tcPr>
          <w:p>
            <w:r>
              <w:rPr>
                <w:rFonts w:ascii="Calibri" w:hAnsi="Calibri"/>
                <w:sz w:val="22"/>
              </w:rPr>
              <w:t>Unchanged; weighted to H2; CapEx ~4% of revenue for new Central Labs facility</w:t>
            </w:r>
          </w:p>
        </w:tc>
      </w:tr>
      <w:tr>
        <w:tc>
          <w:tcPr>
            <w:tcW w:type="dxa" w:w="1728"/>
          </w:tcPr>
          <w:p>
            <w:r>
              <w:rPr>
                <w:rFonts w:ascii="Calibri" w:hAnsi="Calibri"/>
                <w:sz w:val="22"/>
              </w:rPr>
              <w:t>BLS Quarterly Book-to-Bill (Q2 2026)</w:t>
            </w:r>
          </w:p>
        </w:tc>
        <w:tc>
          <w:tcPr>
            <w:tcW w:type="dxa" w:w="1728"/>
          </w:tcPr>
          <w:p>
            <w:r>
              <w:rPr>
                <w:rFonts w:ascii="Calibri" w:hAnsi="Calibri"/>
                <w:sz w:val="22"/>
              </w:rPr>
              <w:t>Sequential improvement from Q1’s 0.94x guided</w:t>
            </w:r>
          </w:p>
        </w:tc>
        <w:tc>
          <w:tcPr>
            <w:tcW w:type="dxa" w:w="1728"/>
          </w:tcPr>
          <w:p>
            <w:r>
              <w:rPr>
                <w:rFonts w:ascii="Calibri" w:hAnsi="Calibri"/>
                <w:sz w:val="22"/>
              </w:rPr>
              <w:t>—</w:t>
            </w:r>
          </w:p>
        </w:tc>
        <w:tc>
          <w:tcPr>
            <w:tcW w:type="dxa" w:w="1728"/>
          </w:tcPr>
          <w:p>
            <w:r>
              <w:rPr>
                <w:rFonts w:ascii="Calibri" w:hAnsi="Calibri"/>
                <w:sz w:val="22"/>
              </w:rPr>
              <w:t>~1.12x</w:t>
            </w:r>
          </w:p>
        </w:tc>
        <w:tc>
          <w:tcPr>
            <w:tcW w:type="dxa" w:w="1728"/>
          </w:tcPr>
          <w:p>
            <w:r>
              <w:rPr>
                <w:rFonts w:ascii="Calibri" w:hAnsi="Calibri"/>
                <w:sz w:val="22"/>
              </w:rPr>
              <w:t>Management: timing-driven dip in Q1; expects above 1.0x for rest of year; reaffirmed Jun 3</w:t>
            </w:r>
          </w:p>
        </w:tc>
      </w:tr>
      <w:tr>
        <w:tc>
          <w:tcPr>
            <w:tcW w:type="dxa" w:w="1728"/>
          </w:tcPr>
          <w:p>
            <w:r>
              <w:rPr>
                <w:rFonts w:ascii="Calibri" w:hAnsi="Calibri"/>
                <w:sz w:val="22"/>
              </w:rPr>
              <w:t>Early Development Streamlining</w:t>
            </w:r>
          </w:p>
        </w:tc>
        <w:tc>
          <w:tcPr>
            <w:tcW w:type="dxa" w:w="1728"/>
          </w:tcPr>
          <w:p>
            <w:r>
              <w:rPr>
                <w:rFonts w:ascii="Calibri" w:hAnsi="Calibri"/>
                <w:sz w:val="22"/>
              </w:rPr>
              <w:t>Largely complete by end of Q2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~$40M revenue headwind in 2026; ED expected relatively flat FY; H2 stronger than H1</w:t>
            </w:r>
          </w:p>
        </w:tc>
      </w:tr>
    </w:tbl>
    <w:p>
      <w:r>
        <w:rPr>
          <w:rFonts w:ascii="Calibri" w:hAnsi="Calibri"/>
          <w:color w:val="525866"/>
          <w:sz w:val="22"/>
        </w:rPr>
        <w:t>Sources: LH Q1 2026 Earnings Release (April 30, 2026); LH Q1 2026 Earnings Call Transcript (April 30, 2026); Jefferies Global Healthcare Conference Transcript (June 3,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revenue consensus moved only +$3M and FY EPS moved only −0.02 in the 13 weeks since earnings. Estimates are tracking guidance tightly, with consensus sitting just inside the midpoint of the FY range, suggesting no incremental risk or cushion is being priced in.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Earnings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 (%)</w:t>
            </w:r>
          </w:p>
        </w:tc>
      </w:tr>
      <w:tr>
        <w:tc>
          <w:tcPr>
            <w:tcW w:type="dxa" w:w="1080"/>
          </w:tcPr>
          <w:p>
            <w:r>
              <w:rPr>
                <w:rFonts w:ascii="Calibri" w:hAnsi="Calibri"/>
                <w:sz w:val="22"/>
              </w:rPr>
              <w:t>Revenue (Q2 2026)</w:t>
            </w:r>
          </w:p>
        </w:tc>
        <w:tc>
          <w:tcPr>
            <w:tcW w:type="dxa" w:w="1080"/>
          </w:tcPr>
          <w:p>
            <w:r>
              <w:rPr>
                <w:rFonts w:ascii="Calibri" w:hAnsi="Calibri"/>
                <w:sz w:val="22"/>
              </w:rPr>
              <w:t>$3.712B</w:t>
            </w:r>
          </w:p>
        </w:tc>
        <w:tc>
          <w:tcPr>
            <w:tcW w:type="dxa" w:w="1080"/>
          </w:tcPr>
          <w:p>
            <w:r>
              <w:rPr>
                <w:rFonts w:ascii="Calibri" w:hAnsi="Calibri"/>
                <w:sz w:val="22"/>
              </w:rPr>
              <w:t>$3.714B</w:t>
            </w:r>
          </w:p>
        </w:tc>
        <w:tc>
          <w:tcPr>
            <w:tcW w:type="dxa" w:w="1080"/>
          </w:tcPr>
          <w:p>
            <w:r>
              <w:rPr>
                <w:rFonts w:ascii="Calibri" w:hAnsi="Calibri"/>
                <w:sz w:val="22"/>
              </w:rPr>
              <w:t>+0.1%</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(Q2 2026)</w:t>
            </w:r>
          </w:p>
        </w:tc>
        <w:tc>
          <w:tcPr>
            <w:tcW w:type="dxa" w:w="1080"/>
          </w:tcPr>
          <w:p>
            <w:r>
              <w:rPr>
                <w:rFonts w:ascii="Calibri" w:hAnsi="Calibri"/>
                <w:sz w:val="22"/>
              </w:rPr>
              <w:t>$4.783</w:t>
            </w:r>
          </w:p>
        </w:tc>
        <w:tc>
          <w:tcPr>
            <w:tcW w:type="dxa" w:w="1080"/>
          </w:tcPr>
          <w:p>
            <w:r>
              <w:rPr>
                <w:rFonts w:ascii="Calibri" w:hAnsi="Calibri"/>
                <w:sz w:val="22"/>
              </w:rPr>
              <w:t>$4.778</w:t>
            </w:r>
          </w:p>
        </w:tc>
        <w:tc>
          <w:tcPr>
            <w:tcW w:type="dxa" w:w="1080"/>
          </w:tcPr>
          <w:p>
            <w:r>
              <w:rPr>
                <w:rFonts w:ascii="Calibri" w:hAnsi="Calibri"/>
                <w:sz w:val="22"/>
              </w:rPr>
              <w:t>−0.1%</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(FY 2026)</w:t>
            </w:r>
          </w:p>
        </w:tc>
        <w:tc>
          <w:tcPr>
            <w:tcW w:type="dxa" w:w="1080"/>
          </w:tcPr>
          <w:p>
            <w:r>
              <w:rPr>
                <w:rFonts w:ascii="Calibri" w:hAnsi="Calibri"/>
                <w:sz w:val="22"/>
              </w:rPr>
              <w:t>$14.722B</w:t>
            </w:r>
          </w:p>
        </w:tc>
        <w:tc>
          <w:tcPr>
            <w:tcW w:type="dxa" w:w="1080"/>
          </w:tcPr>
          <w:p>
            <w:r>
              <w:rPr>
                <w:rFonts w:ascii="Calibri" w:hAnsi="Calibri"/>
                <w:sz w:val="22"/>
              </w:rPr>
              <w:t>$14.716B</w:t>
            </w:r>
          </w:p>
        </w:tc>
        <w:tc>
          <w:tcPr>
            <w:tcW w:type="dxa" w:w="1080"/>
          </w:tcPr>
          <w:p>
            <w:r>
              <w:rPr>
                <w:rFonts w:ascii="Calibri" w:hAnsi="Calibri"/>
                <w:sz w:val="22"/>
              </w:rPr>
              <w:t>−0.0%</w:t>
            </w:r>
          </w:p>
        </w:tc>
        <w:tc>
          <w:tcPr>
            <w:tcW w:type="dxa" w:w="1080"/>
          </w:tcPr>
          <w:p>
            <w:r>
              <w:rPr>
                <w:rFonts w:ascii="Calibri" w:hAnsi="Calibri"/>
                <w:sz w:val="22"/>
              </w:rPr>
              <w:t>$14.65–$14.80B</w:t>
            </w:r>
          </w:p>
        </w:tc>
        <w:tc>
          <w:tcPr>
            <w:tcW w:type="dxa" w:w="1080"/>
          </w:tcPr>
          <w:p>
            <w:r>
              <w:rPr>
                <w:rFonts w:ascii="Calibri" w:hAnsi="Calibri"/>
                <w:sz w:val="22"/>
              </w:rPr>
              <w:t>$14.65–$14.80B</w:t>
            </w:r>
          </w:p>
        </w:tc>
        <w:tc>
          <w:tcPr>
            <w:tcW w:type="dxa" w:w="1080"/>
          </w:tcPr>
          <w:p>
            <w:r>
              <w:rPr>
                <w:rFonts w:ascii="Calibri" w:hAnsi="Calibri"/>
                <w:sz w:val="22"/>
              </w:rPr>
              <w:t>Unchanged</w:t>
            </w:r>
          </w:p>
        </w:tc>
        <w:tc>
          <w:tcPr>
            <w:tcW w:type="dxa" w:w="1080"/>
          </w:tcPr>
          <w:p>
            <w:r>
              <w:rPr>
                <w:rFonts w:ascii="Calibri" w:hAnsi="Calibri"/>
                <w:sz w:val="22"/>
              </w:rPr>
              <w:t>−0.1% vs. mid</w:t>
            </w:r>
          </w:p>
        </w:tc>
      </w:tr>
      <w:tr>
        <w:tc>
          <w:tcPr>
            <w:tcW w:type="dxa" w:w="1080"/>
          </w:tcPr>
          <w:p>
            <w:r>
              <w:rPr>
                <w:rFonts w:ascii="Calibri" w:hAnsi="Calibri"/>
                <w:sz w:val="22"/>
              </w:rPr>
              <w:t>Adj. EPS (FY 2026)</w:t>
            </w:r>
          </w:p>
        </w:tc>
        <w:tc>
          <w:tcPr>
            <w:tcW w:type="dxa" w:w="1080"/>
          </w:tcPr>
          <w:p>
            <w:r>
              <w:rPr>
                <w:rFonts w:ascii="Calibri" w:hAnsi="Calibri"/>
                <w:sz w:val="22"/>
              </w:rPr>
              <w:t>$18.046</w:t>
            </w:r>
          </w:p>
        </w:tc>
        <w:tc>
          <w:tcPr>
            <w:tcW w:type="dxa" w:w="1080"/>
          </w:tcPr>
          <w:p>
            <w:r>
              <w:rPr>
                <w:rFonts w:ascii="Calibri" w:hAnsi="Calibri"/>
                <w:sz w:val="22"/>
              </w:rPr>
              <w:t>$18.052</w:t>
            </w:r>
          </w:p>
        </w:tc>
        <w:tc>
          <w:tcPr>
            <w:tcW w:type="dxa" w:w="1080"/>
          </w:tcPr>
          <w:p>
            <w:r>
              <w:rPr>
                <w:rFonts w:ascii="Calibri" w:hAnsi="Calibri"/>
                <w:sz w:val="22"/>
              </w:rPr>
              <w:t>+0.0%</w:t>
            </w:r>
          </w:p>
        </w:tc>
        <w:tc>
          <w:tcPr>
            <w:tcW w:type="dxa" w:w="1080"/>
          </w:tcPr>
          <w:p>
            <w:r>
              <w:rPr>
                <w:rFonts w:ascii="Calibri" w:hAnsi="Calibri"/>
                <w:sz w:val="22"/>
              </w:rPr>
              <w:t>$17.70–$18.35</w:t>
            </w:r>
          </w:p>
        </w:tc>
        <w:tc>
          <w:tcPr>
            <w:tcW w:type="dxa" w:w="1080"/>
          </w:tcPr>
          <w:p>
            <w:r>
              <w:rPr>
                <w:rFonts w:ascii="Calibri" w:hAnsi="Calibri"/>
                <w:sz w:val="22"/>
              </w:rPr>
              <w:t>$17.70–$18.35</w:t>
            </w:r>
          </w:p>
        </w:tc>
        <w:tc>
          <w:tcPr>
            <w:tcW w:type="dxa" w:w="1080"/>
          </w:tcPr>
          <w:p>
            <w:r>
              <w:rPr>
                <w:rFonts w:ascii="Calibri" w:hAnsi="Calibri"/>
                <w:sz w:val="22"/>
              </w:rPr>
              <w:t>Unchanged</w:t>
            </w:r>
          </w:p>
        </w:tc>
        <w:tc>
          <w:tcPr>
            <w:tcW w:type="dxa" w:w="1080"/>
          </w:tcPr>
          <w:p>
            <w:r>
              <w:rPr>
                <w:rFonts w:ascii="Calibri" w:hAnsi="Calibri"/>
                <w:sz w:val="22"/>
              </w:rPr>
              <w:t>−0.5% vs. mid</w:t>
            </w:r>
          </w:p>
        </w:tc>
      </w:tr>
    </w:tbl>
    <w:p>
      <w:r>
        <w:rPr>
          <w:rFonts w:ascii="Calibri" w:hAnsi="Calibri"/>
          <w:color w:val="525866"/>
          <w:sz w:val="22"/>
        </w:rPr>
        <w:t>The near-zero estimate drift since the Q1 print is notable: the Street has not revised up on the back of Quest's strong Q2 read-through (reported July 23) or the broader healthcare sector re-rating. This creates a modest asymmetry — if LH delivers in-line with Quest's volume trends, there may be upward revision potential post-print. Source: Visible Alpha Consensus and Actuals Data (revision history, weekly frequency, May 1–July 29,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LH has outperformed XLV since Q1 earnings (+19% vs. +16%), with the move driven predominantly by multiple expansion rather than estimate revisions — NTM P/E expanded from ~14.3x to ~16.6x. The stock has re-rated toward fair value, reducing the margin of safety for a sentiment-driven beat reaction.</w:t>
      </w:r>
    </w:p>
    <w:p>
      <w:r>
        <w:rPr>
          <w:rFonts w:ascii="Calibri" w:hAnsi="Calibri"/>
          <w:color w:val="525866"/>
          <w:sz w:val="22"/>
        </w:rPr>
        <w:t>Since Q1 2026 earnings (April 30, 2026 base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Name</w:t>
            </w:r>
          </w:p>
        </w:tc>
        <w:tc>
          <w:tcPr>
            <w:tcW w:type="dxa" w:w="2160"/>
            <w:shd w:val="clear" w:color="auto" w:fill="3B4259"/>
          </w:tcPr>
          <w:p>
            <w:r>
              <w:rPr>
                <w:rFonts w:ascii="Calibri" w:hAnsi="Calibri"/>
                <w:b/>
                <w:color w:val="FFFFFF"/>
                <w:sz w:val="22"/>
              </w:rPr>
              <w:t>Apr 30, 2026 (Base)</w:t>
            </w:r>
          </w:p>
        </w:tc>
        <w:tc>
          <w:tcPr>
            <w:tcW w:type="dxa" w:w="2160"/>
            <w:shd w:val="clear" w:color="auto" w:fill="3B4259"/>
          </w:tcPr>
          <w:p>
            <w:r>
              <w:rPr>
                <w:rFonts w:ascii="Calibri" w:hAnsi="Calibri"/>
                <w:b/>
                <w:color w:val="FFFFFF"/>
                <w:sz w:val="22"/>
              </w:rPr>
              <w:t>Jul 29, 2026 (Latest)</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LH (Labcorp)</w:t>
            </w:r>
          </w:p>
        </w:tc>
        <w:tc>
          <w:tcPr>
            <w:tcW w:type="dxa" w:w="2160"/>
          </w:tcPr>
          <w:p>
            <w:r>
              <w:rPr>
                <w:rFonts w:ascii="Calibri" w:hAnsi="Calibri"/>
                <w:sz w:val="22"/>
              </w:rPr>
              <w:t>$256.80</w:t>
            </w:r>
          </w:p>
        </w:tc>
        <w:tc>
          <w:tcPr>
            <w:tcW w:type="dxa" w:w="2160"/>
          </w:tcPr>
          <w:p>
            <w:r>
              <w:rPr>
                <w:rFonts w:ascii="Calibri" w:hAnsi="Calibri"/>
                <w:sz w:val="22"/>
              </w:rPr>
              <w:t>$314.23 (Jul 28)</w:t>
            </w:r>
          </w:p>
        </w:tc>
        <w:tc>
          <w:tcPr>
            <w:tcW w:type="dxa" w:w="2160"/>
          </w:tcPr>
          <w:p>
            <w:r>
              <w:rPr>
                <w:rFonts w:ascii="Calibri" w:hAnsi="Calibri"/>
                <w:sz w:val="22"/>
              </w:rPr>
              <w:t>+22.4%</w:t>
            </w:r>
          </w:p>
        </w:tc>
      </w:tr>
      <w:tr>
        <w:tc>
          <w:tcPr>
            <w:tcW w:type="dxa" w:w="2160"/>
          </w:tcPr>
          <w:p>
            <w:r>
              <w:rPr>
                <w:rFonts w:ascii="Calibri" w:hAnsi="Calibri"/>
                <w:sz w:val="22"/>
              </w:rPr>
              <w:t>XLV (Health Care Select Sector SPDR)</w:t>
            </w:r>
          </w:p>
        </w:tc>
        <w:tc>
          <w:tcPr>
            <w:tcW w:type="dxa" w:w="2160"/>
          </w:tcPr>
          <w:p>
            <w:r>
              <w:rPr>
                <w:rFonts w:ascii="Calibri" w:hAnsi="Calibri"/>
                <w:sz w:val="22"/>
              </w:rPr>
              <w:t>$145.99</w:t>
            </w:r>
          </w:p>
        </w:tc>
        <w:tc>
          <w:tcPr>
            <w:tcW w:type="dxa" w:w="2160"/>
          </w:tcPr>
          <w:p>
            <w:r>
              <w:rPr>
                <w:rFonts w:ascii="Calibri" w:hAnsi="Calibri"/>
                <w:sz w:val="22"/>
              </w:rPr>
              <w:t>$167.26 (Jul 28)</w:t>
            </w:r>
          </w:p>
        </w:tc>
        <w:tc>
          <w:tcPr>
            <w:tcW w:type="dxa" w:w="2160"/>
          </w:tcPr>
          <w:p>
            <w:r>
              <w:rPr>
                <w:rFonts w:ascii="Calibri" w:hAnsi="Calibri"/>
                <w:sz w:val="22"/>
              </w:rPr>
              <w:t>+14.6%</w:t>
            </w:r>
          </w:p>
        </w:tc>
      </w:tr>
      <w:tr>
        <w:tc>
          <w:tcPr>
            <w:tcW w:type="dxa" w:w="2160"/>
          </w:tcPr>
          <w:p>
            <w:r>
              <w:rPr>
                <w:rFonts w:ascii="Calibri" w:hAnsi="Calibri"/>
                <w:sz w:val="22"/>
              </w:rPr>
              <w:t>SPY (S&amp;P 500)</w:t>
            </w:r>
          </w:p>
        </w:tc>
        <w:tc>
          <w:tcPr>
            <w:tcW w:type="dxa" w:w="2160"/>
          </w:tcPr>
          <w:p>
            <w:r>
              <w:rPr>
                <w:rFonts w:ascii="Calibri" w:hAnsi="Calibri"/>
                <w:sz w:val="22"/>
              </w:rPr>
              <w:t>$718.66</w:t>
            </w:r>
          </w:p>
        </w:tc>
        <w:tc>
          <w:tcPr>
            <w:tcW w:type="dxa" w:w="2160"/>
          </w:tcPr>
          <w:p>
            <w:r>
              <w:rPr>
                <w:rFonts w:ascii="Calibri" w:hAnsi="Calibri"/>
                <w:sz w:val="22"/>
              </w:rPr>
              <w:t>$740.86 (Jul 28)</w:t>
            </w:r>
          </w:p>
        </w:tc>
        <w:tc>
          <w:tcPr>
            <w:tcW w:type="dxa" w:w="2160"/>
          </w:tcPr>
          <w:p>
            <w:r>
              <w:rPr>
                <w:rFonts w:ascii="Calibri" w:hAnsi="Calibri"/>
                <w:sz w:val="22"/>
              </w:rPr>
              <w:t>+3.1%</w:t>
            </w:r>
          </w:p>
        </w:tc>
      </w:tr>
    </w:tbl>
    <w:p>
      <w:r>
        <w:rPr>
          <w:rFonts w:ascii="Calibri" w:hAnsi="Calibri"/>
          <w:color w:val="525866"/>
          <w:sz w:val="22"/>
        </w:rPr>
        <w:t>Note: Jul 28 close used as latest available pre-earnings data point. Jul 30 (earnings day) close of $307.15 reflects post-earnings trading. Source: Stock Price Data (Yahoo Finance).</w:t>
      </w:r>
    </w:p>
    <w:p>
      <w:r>
        <w:rPr>
          <w:rFonts w:ascii="Calibri" w:hAnsi="Calibri"/>
          <w:color w:val="525866"/>
          <w:sz w:val="22"/>
        </w:rPr>
        <w:t>Performance Decomposition (NTM EV/EBITDA, primary valuation metric for LH):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LH Price Return</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+9.9%</w:t>
            </w:r>
          </w:p>
        </w:tc>
        <w:tc>
          <w:tcPr>
            <w:tcW w:type="dxa" w:w="1440"/>
          </w:tcPr>
          <w:p>
            <w:r>
              <w:rPr>
                <w:rFonts w:ascii="Calibri" w:hAnsi="Calibri"/>
                <w:sz w:val="22"/>
              </w:rPr>
              <w:t>10.69x</w:t>
            </w:r>
          </w:p>
        </w:tc>
        <w:tc>
          <w:tcPr>
            <w:tcW w:type="dxa" w:w="1440"/>
          </w:tcPr>
          <w:p>
            <w:r>
              <w:rPr>
                <w:rFonts w:ascii="Calibri" w:hAnsi="Calibri"/>
                <w:sz w:val="22"/>
              </w:rPr>
              <w:t>11.94x</w:t>
            </w:r>
          </w:p>
        </w:tc>
        <w:tc>
          <w:tcPr>
            <w:tcW w:type="dxa" w:w="1440"/>
          </w:tcPr>
          <w:p>
            <w:r>
              <w:rPr>
                <w:rFonts w:ascii="Calibri" w:hAnsi="Calibri"/>
                <w:sz w:val="22"/>
              </w:rPr>
              <w:t>+11.7%</w:t>
            </w:r>
          </w:p>
        </w:tc>
        <w:tc>
          <w:tcPr>
            <w:tcW w:type="dxa" w:w="1440"/>
          </w:tcPr>
          <w:p>
            <w:r>
              <w:rPr>
                <w:rFonts w:ascii="Calibri" w:hAnsi="Calibri"/>
                <w:sz w:val="22"/>
              </w:rPr>
              <w:t>Multiple expansion dominant</w:t>
            </w:r>
          </w:p>
        </w:tc>
      </w:tr>
      <w:tr>
        <w:tc>
          <w:tcPr>
            <w:tcW w:type="dxa" w:w="1440"/>
          </w:tcPr>
          <w:p>
            <w:r>
              <w:rPr>
                <w:rFonts w:ascii="Calibri" w:hAnsi="Calibri"/>
                <w:sz w:val="22"/>
              </w:rPr>
              <w:t>3 Months</w:t>
            </w:r>
          </w:p>
        </w:tc>
        <w:tc>
          <w:tcPr>
            <w:tcW w:type="dxa" w:w="1440"/>
          </w:tcPr>
          <w:p>
            <w:r>
              <w:rPr>
                <w:rFonts w:ascii="Calibri" w:hAnsi="Calibri"/>
                <w:sz w:val="22"/>
              </w:rPr>
              <w:t>+18.4%</w:t>
            </w:r>
          </w:p>
        </w:tc>
        <w:tc>
          <w:tcPr>
            <w:tcW w:type="dxa" w:w="1440"/>
          </w:tcPr>
          <w:p>
            <w:r>
              <w:rPr>
                <w:rFonts w:ascii="Calibri" w:hAnsi="Calibri"/>
                <w:sz w:val="22"/>
              </w:rPr>
              <w:t>10.62x</w:t>
            </w:r>
          </w:p>
        </w:tc>
        <w:tc>
          <w:tcPr>
            <w:tcW w:type="dxa" w:w="1440"/>
          </w:tcPr>
          <w:p>
            <w:r>
              <w:rPr>
                <w:rFonts w:ascii="Calibri" w:hAnsi="Calibri"/>
                <w:sz w:val="22"/>
              </w:rPr>
              <w:t>11.94x</w:t>
            </w:r>
          </w:p>
        </w:tc>
        <w:tc>
          <w:tcPr>
            <w:tcW w:type="dxa" w:w="1440"/>
          </w:tcPr>
          <w:p>
            <w:r>
              <w:rPr>
                <w:rFonts w:ascii="Calibri" w:hAnsi="Calibri"/>
                <w:sz w:val="22"/>
              </w:rPr>
              <w:t>+12.5%</w:t>
            </w:r>
          </w:p>
        </w:tc>
        <w:tc>
          <w:tcPr>
            <w:tcW w:type="dxa" w:w="1440"/>
          </w:tcPr>
          <w:p>
            <w:r>
              <w:rPr>
                <w:rFonts w:ascii="Calibri" w:hAnsi="Calibri"/>
                <w:sz w:val="22"/>
              </w:rPr>
              <w:t>Multiple expansion dominant</w:t>
            </w:r>
          </w:p>
        </w:tc>
      </w:tr>
      <w:tr>
        <w:tc>
          <w:tcPr>
            <w:tcW w:type="dxa" w:w="1440"/>
          </w:tcPr>
          <w:p>
            <w:r>
              <w:rPr>
                <w:rFonts w:ascii="Calibri" w:hAnsi="Calibri"/>
                <w:sz w:val="22"/>
              </w:rPr>
              <w:t>6 Months</w:t>
            </w:r>
          </w:p>
        </w:tc>
        <w:tc>
          <w:tcPr>
            <w:tcW w:type="dxa" w:w="1440"/>
          </w:tcPr>
          <w:p>
            <w:r>
              <w:rPr>
                <w:rFonts w:ascii="Calibri" w:hAnsi="Calibri"/>
                <w:sz w:val="22"/>
              </w:rPr>
              <w:t>+13.3%</w:t>
            </w:r>
          </w:p>
        </w:tc>
        <w:tc>
          <w:tcPr>
            <w:tcW w:type="dxa" w:w="1440"/>
          </w:tcPr>
          <w:p>
            <w:r>
              <w:rPr>
                <w:rFonts w:ascii="Calibri" w:hAnsi="Calibri"/>
                <w:sz w:val="22"/>
              </w:rPr>
              <w:t>10.91x</w:t>
            </w:r>
          </w:p>
        </w:tc>
        <w:tc>
          <w:tcPr>
            <w:tcW w:type="dxa" w:w="1440"/>
          </w:tcPr>
          <w:p>
            <w:r>
              <w:rPr>
                <w:rFonts w:ascii="Calibri" w:hAnsi="Calibri"/>
                <w:sz w:val="22"/>
              </w:rPr>
              <w:t>11.94x</w:t>
            </w:r>
          </w:p>
        </w:tc>
        <w:tc>
          <w:tcPr>
            <w:tcW w:type="dxa" w:w="1440"/>
          </w:tcPr>
          <w:p>
            <w:r>
              <w:rPr>
                <w:rFonts w:ascii="Calibri" w:hAnsi="Calibri"/>
                <w:sz w:val="22"/>
              </w:rPr>
              <w:t>+9.5%</w:t>
            </w:r>
          </w:p>
        </w:tc>
        <w:tc>
          <w:tcPr>
            <w:tcW w:type="dxa" w:w="1440"/>
          </w:tcPr>
          <w:p>
            <w:r>
              <w:rPr>
                <w:rFonts w:ascii="Calibri" w:hAnsi="Calibri"/>
                <w:sz w:val="22"/>
              </w:rPr>
              <w:t>Multiple expansion dominant</w:t>
            </w:r>
          </w:p>
        </w:tc>
      </w:tr>
      <w:tr>
        <w:tc>
          <w:tcPr>
            <w:tcW w:type="dxa" w:w="1440"/>
          </w:tcPr>
          <w:p>
            <w:r>
              <w:rPr>
                <w:rFonts w:ascii="Calibri" w:hAnsi="Calibri"/>
                <w:sz w:val="22"/>
              </w:rPr>
              <w:t>12 Months</w:t>
            </w:r>
          </w:p>
        </w:tc>
        <w:tc>
          <w:tcPr>
            <w:tcW w:type="dxa" w:w="1440"/>
          </w:tcPr>
          <w:p>
            <w:r>
              <w:rPr>
                <w:rFonts w:ascii="Calibri" w:hAnsi="Calibri"/>
                <w:sz w:val="22"/>
              </w:rPr>
              <w:t>+17.3%</w:t>
            </w:r>
          </w:p>
        </w:tc>
        <w:tc>
          <w:tcPr>
            <w:tcW w:type="dxa" w:w="1440"/>
          </w:tcPr>
          <w:p>
            <w:r>
              <w:rPr>
                <w:rFonts w:ascii="Calibri" w:hAnsi="Calibri"/>
                <w:sz w:val="22"/>
              </w:rPr>
              <w:t>11.19x</w:t>
            </w:r>
          </w:p>
        </w:tc>
        <w:tc>
          <w:tcPr>
            <w:tcW w:type="dxa" w:w="1440"/>
          </w:tcPr>
          <w:p>
            <w:r>
              <w:rPr>
                <w:rFonts w:ascii="Calibri" w:hAnsi="Calibri"/>
                <w:sz w:val="22"/>
              </w:rPr>
              <w:t>11.94x</w:t>
            </w:r>
          </w:p>
        </w:tc>
        <w:tc>
          <w:tcPr>
            <w:tcW w:type="dxa" w:w="1440"/>
          </w:tcPr>
          <w:p>
            <w:r>
              <w:rPr>
                <w:rFonts w:ascii="Calibri" w:hAnsi="Calibri"/>
                <w:sz w:val="22"/>
              </w:rPr>
              <w:t>+6.7%</w:t>
            </w:r>
          </w:p>
        </w:tc>
        <w:tc>
          <w:tcPr>
            <w:tcW w:type="dxa" w:w="1440"/>
          </w:tcPr>
          <w:p>
            <w:r>
              <w:rPr>
                <w:rFonts w:ascii="Calibri" w:hAnsi="Calibri"/>
                <w:sz w:val="22"/>
              </w:rPr>
              <w:t>Mix of multiple &amp; earnings</w:t>
            </w:r>
          </w:p>
        </w:tc>
      </w:tr>
    </w:tbl>
    <w:p>
      <w:r>
        <w:rPr>
          <w:rFonts w:ascii="Calibri" w:hAnsi="Calibri"/>
          <w:color w:val="525866"/>
          <w:sz w:val="22"/>
        </w:rPr>
        <w:t>The stock's outperformance vs. XLV and SPY since Q1 earnings has been driven almost entirely by multiple expansion, not estimate revisions (which were flat). At 11.94x NTM EV/EBITDA, LH is trading above its 1-year average of ~11.2x but still at a discount to historical peaks, suggesting the re-rating has room to continue if execution remains strong. However, the multiple expansion also means the stock needs a clean beat-and-raise to sustain momentum — an in-line print may not be enough to drive further outperformance. Source: Stock Price Data (Yahoo Finance); LH Stock Performance Decomposition.</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Quest Diagnostics' strong Q2 beat-and-raise (July 23), which provides a direct positive read-through for Labcorp's Diagnostics volume and specialty testing trends heading into tomorrow's print.</w:t>
      </w:r>
    </w:p>
    <w:p>
      <w:pPr>
        <w:pStyle w:val="ListBullet"/>
        <w:ind w:left="360" w:hanging="360"/>
      </w:pPr>
      <w:r>
        <w:rPr>
          <w:rFonts w:ascii="Calibri" w:hAnsi="Calibri"/>
          <w:b/>
          <w:color w:val="525866"/>
          <w:sz w:val="22"/>
        </w:rPr>
        <w:t>July 23, 2026 — Quest Diagnostics (DGX) Q2 2026 Beat-and-Raise:</w:t>
      </w:r>
      <w:r>
        <w:rPr>
          <w:rFonts w:ascii="Calibri" w:hAnsi="Calibri"/>
          <w:color w:val="525866"/>
          <w:sz w:val="22"/>
        </w:rPr>
        <w:t xml:space="preserve"> DGX reported Q2 revenue of $3.04B (+10.2% YoY) and raised FY 2026 revenue guidance to $11.95–$12.05B. Organic requisition volume grew 13% (4.1% ex-Corewell/Fresenius). Advanced diagnostics (Alzheimer's, cardiometabolic, oncology) grew double-digits. </w:t>
      </w:r>
    </w:p>
    <w:p>
      <w:pPr>
        <w:pStyle w:val="ListBullet"/>
        <w:ind w:left="360" w:hanging="360"/>
      </w:pPr>
      <w:r>
        <w:rPr>
          <w:rFonts w:ascii="Calibri" w:hAnsi="Calibri"/>
          <w:b/>
          <w:color w:val="525866"/>
          <w:sz w:val="22"/>
        </w:rPr>
        <w:t>Implication:</w:t>
      </w:r>
      <w:r>
        <w:rPr>
          <w:rFonts w:ascii="Calibri" w:hAnsi="Calibri"/>
          <w:color w:val="525866"/>
          <w:sz w:val="22"/>
        </w:rPr>
        <w:t xml:space="preserve"> Confirms robust underlying demand in the diagnostics market; directly supportive of LH's Diagnostics volume and specialty mix thesis.</w:t>
      </w:r>
    </w:p>
    <w:p>
      <w:pPr>
        <w:pStyle w:val="ListBullet"/>
        <w:ind w:left="360" w:hanging="360"/>
      </w:pPr>
      <w:r>
        <w:rPr>
          <w:rFonts w:ascii="Calibri" w:hAnsi="Calibri"/>
          <w:b/>
          <w:color w:val="525866"/>
          <w:sz w:val="22"/>
        </w:rPr>
        <w:t>July 10, 2026 — Labcorp Declares $0.72/Share Quarterly Dividend:</w:t>
      </w:r>
      <w:r>
        <w:rPr>
          <w:rFonts w:ascii="Calibri" w:hAnsi="Calibri"/>
          <w:color w:val="525866"/>
          <w:sz w:val="22"/>
        </w:rPr>
        <w:t xml:space="preserve"> Board approved the regular quarterly cash dividend, payable September 11, 2026. </w:t>
      </w:r>
    </w:p>
    <w:p>
      <w:pPr>
        <w:pStyle w:val="ListBullet"/>
        <w:ind w:left="360" w:hanging="360"/>
      </w:pPr>
      <w:r>
        <w:rPr>
          <w:rFonts w:ascii="Calibri" w:hAnsi="Calibri"/>
          <w:b/>
          <w:color w:val="525866"/>
          <w:sz w:val="22"/>
        </w:rPr>
        <w:t>Implication:</w:t>
      </w:r>
      <w:r>
        <w:rPr>
          <w:rFonts w:ascii="Calibri" w:hAnsi="Calibri"/>
          <w:color w:val="525866"/>
          <w:sz w:val="22"/>
        </w:rPr>
        <w:t xml:space="preserve"> Routine capital return; signals financial stability but no incremental read-through for Q2 results.</w:t>
      </w:r>
    </w:p>
    <w:p>
      <w:pPr>
        <w:pStyle w:val="ListBullet"/>
        <w:ind w:left="360" w:hanging="360"/>
      </w:pPr>
      <w:r>
        <w:rPr>
          <w:rFonts w:ascii="Calibri" w:hAnsi="Calibri"/>
          <w:b/>
          <w:color w:val="525866"/>
          <w:sz w:val="22"/>
        </w:rPr>
        <w:t>June 30, 2026 — LH Schedules Q2 2026 Earnings Release for July 30:</w:t>
      </w:r>
      <w:r>
        <w:rPr>
          <w:rFonts w:ascii="Calibri" w:hAnsi="Calibri"/>
          <w:color w:val="525866"/>
          <w:sz w:val="22"/>
        </w:rPr>
        <w:t xml:space="preserve"> Confirmed pre-market release with 9:00 AM ET call. No pre-announcement or guidance update accompanying the scheduling notice.</w:t>
      </w:r>
    </w:p>
    <w:p>
      <w:pPr>
        <w:pStyle w:val="ListBullet"/>
        <w:ind w:left="360" w:hanging="360"/>
      </w:pPr>
      <w:r>
        <w:rPr>
          <w:rFonts w:ascii="Calibri" w:hAnsi="Calibri"/>
          <w:b/>
          <w:color w:val="525866"/>
          <w:sz w:val="22"/>
        </w:rPr>
        <w:t>June 3, 2026 — Jefferies Global Healthcare Conference (CFO Julia Wang):</w:t>
      </w:r>
      <w:r>
        <w:rPr>
          <w:rFonts w:ascii="Calibri" w:hAnsi="Calibri"/>
          <w:color w:val="525866"/>
          <w:sz w:val="22"/>
        </w:rPr>
        <w:t xml:space="preserve"> Reaffirmed full-year guidance; expressed explicit optimism about Q2 book-to-bill sequential improvement; characterized utilization environment as "structural"; highlighted MRD market at ~5% penetration with $20B potential; confirmed Early Development streamlining on track for end-of-Q2 completion. </w:t>
      </w:r>
    </w:p>
    <w:p>
      <w:pPr>
        <w:pStyle w:val="ListBullet"/>
        <w:ind w:left="360" w:hanging="360"/>
      </w:pPr>
      <w:r>
        <w:rPr>
          <w:rFonts w:ascii="Calibri" w:hAnsi="Calibri"/>
          <w:b/>
          <w:color w:val="525866"/>
          <w:sz w:val="22"/>
        </w:rPr>
        <w:t>Implication:</w:t>
      </w:r>
      <w:r>
        <w:rPr>
          <w:rFonts w:ascii="Calibri" w:hAnsi="Calibri"/>
          <w:color w:val="525866"/>
          <w:sz w:val="22"/>
        </w:rPr>
        <w:t xml:space="preserve"> Most recent management communication; tone was constructive and forward-looking with no negative signals.</w:t>
      </w:r>
    </w:p>
    <w:p>
      <w:pPr>
        <w:pStyle w:val="ListBullet"/>
        <w:ind w:left="360" w:hanging="360"/>
      </w:pPr>
      <w:r>
        <w:rPr>
          <w:rFonts w:ascii="Calibri" w:hAnsi="Calibri"/>
          <w:b/>
          <w:color w:val="525866"/>
          <w:sz w:val="22"/>
        </w:rPr>
        <w:t>Q2 2026 (ongoing) — PAMA Data Collection Window Closes July 30:</w:t>
      </w:r>
      <w:r>
        <w:rPr>
          <w:rFonts w:ascii="Calibri" w:hAnsi="Calibri"/>
          <w:color w:val="525866"/>
          <w:sz w:val="22"/>
        </w:rPr>
        <w:t xml:space="preserve"> CMS data collection for PAMA rate-setting concluded on the same day as LH's earnings. Quest noted only ~1% of labs historically submitted data, creating a biased sample. LH management expects broader hospital participation would reduce the impact on Labcorp. </w:t>
      </w:r>
    </w:p>
    <w:p>
      <w:pPr>
        <w:pStyle w:val="ListBullet"/>
        <w:ind w:left="360" w:hanging="360"/>
      </w:pPr>
      <w:r>
        <w:rPr>
          <w:rFonts w:ascii="Calibri" w:hAnsi="Calibri"/>
          <w:b/>
          <w:color w:val="525866"/>
          <w:sz w:val="22"/>
        </w:rPr>
        <w:t>Implication:</w:t>
      </w:r>
      <w:r>
        <w:rPr>
          <w:rFonts w:ascii="Calibri" w:hAnsi="Calibri"/>
          <w:color w:val="525866"/>
          <w:sz w:val="22"/>
        </w:rPr>
        <w:t xml:space="preserve"> Key regulatory overhang; outcome (new rates effective Jan 1, 2027 vs. Results Act passage vs. another delay) will be a major topic on the Q2 call.</w:t>
      </w:r>
    </w:p>
    <w:p>
      <w:pPr>
        <w:pStyle w:val="ListBullet"/>
        <w:ind w:left="360" w:hanging="360"/>
      </w:pPr>
      <w:r>
        <w:rPr>
          <w:rFonts w:ascii="Calibri" w:hAnsi="Calibri"/>
          <w:b/>
          <w:color w:val="525866"/>
          <w:sz w:val="22"/>
        </w:rPr>
        <w:t>Q2 2026 — MyLabcorp AI-Powered Mobile App Launch:</w:t>
      </w:r>
      <w:r>
        <w:rPr>
          <w:rFonts w:ascii="Calibri" w:hAnsi="Calibri"/>
          <w:color w:val="525866"/>
          <w:sz w:val="22"/>
        </w:rPr>
        <w:t xml:space="preserve"> Launched in May 2026 as announced on the Q1 call; provides personalized health insights and test results to consumers. Supports the Labcorp OnDemand direct-to-consumer channel, which grew strong double-digits in Q1. </w:t>
      </w:r>
    </w:p>
    <w:p>
      <w:pPr>
        <w:pStyle w:val="ListBullet"/>
        <w:ind w:left="360" w:hanging="360"/>
      </w:pPr>
      <w:r>
        <w:rPr>
          <w:rFonts w:ascii="Calibri" w:hAnsi="Calibri"/>
          <w:b/>
          <w:color w:val="525866"/>
          <w:sz w:val="22"/>
        </w:rPr>
        <w:t>Implication:</w:t>
      </w:r>
      <w:r>
        <w:rPr>
          <w:rFonts w:ascii="Calibri" w:hAnsi="Calibri"/>
          <w:color w:val="525866"/>
          <w:sz w:val="22"/>
        </w:rPr>
        <w:t xml:space="preserve"> Incremental positive for consumer health revenue in Q2; watch for management commentary on early traction.</w:t>
      </w:r>
    </w:p>
    <w:p>
      <w:pPr>
        <w:pStyle w:val="ListBullet"/>
        <w:ind w:left="360" w:hanging="360"/>
      </w:pPr>
      <w:r>
        <w:rPr>
          <w:rFonts w:ascii="Calibri" w:hAnsi="Calibri"/>
          <w:b/>
          <w:color w:val="525866"/>
          <w:sz w:val="22"/>
        </w:rPr>
        <w:t>Q2 2026 — Parkview Health Acquisition Expected to Close:</w:t>
      </w:r>
      <w:r>
        <w:rPr>
          <w:rFonts w:ascii="Calibri" w:hAnsi="Calibri"/>
          <w:color w:val="525866"/>
          <w:sz w:val="22"/>
        </w:rPr>
        <w:t xml:space="preserve"> Management guided on the Q1 call that the acquisition of select outreach laboratory services from Parkview Health (Indiana/Northwest Ohio) was "on track to close in the very near future." </w:t>
      </w:r>
    </w:p>
    <w:p>
      <w:pPr>
        <w:pStyle w:val="ListBullet"/>
        <w:ind w:left="360" w:hanging="360"/>
      </w:pPr>
      <w:r>
        <w:rPr>
          <w:rFonts w:ascii="Calibri" w:hAnsi="Calibri"/>
          <w:b/>
          <w:color w:val="525866"/>
          <w:sz w:val="22"/>
        </w:rPr>
        <w:t>Implication:</w:t>
      </w:r>
      <w:r>
        <w:rPr>
          <w:rFonts w:ascii="Calibri" w:hAnsi="Calibri"/>
          <w:color w:val="525866"/>
          <w:sz w:val="22"/>
        </w:rPr>
        <w:t xml:space="preserve"> Incremental inorganic revenue contribution to Q2 Diagnostics; watch for confirmation and sizing.</w:t>
      </w:r>
    </w:p>
    <w:p>
      <w:pPr>
        <w:pStyle w:val="ListBullet"/>
        <w:ind w:left="360" w:hanging="360"/>
      </w:pPr>
      <w:r>
        <w:rPr>
          <w:rFonts w:ascii="Calibri" w:hAnsi="Calibri"/>
          <w:b/>
          <w:color w:val="525866"/>
          <w:sz w:val="22"/>
        </w:rPr>
        <w:t>Q1 2026 (reported Apr 30) — MRD Portfolio Expansion:</w:t>
      </w:r>
      <w:r>
        <w:rPr>
          <w:rFonts w:ascii="Calibri" w:hAnsi="Calibri"/>
          <w:color w:val="525866"/>
          <w:sz w:val="22"/>
        </w:rPr>
        <w:t xml:space="preserve"> Launched Plasma Detect ID (breast, lung cancer) and Plasma Detect Genome (colon cancer) in Q1. Oncology grew double-digits in Q1. </w:t>
      </w:r>
    </w:p>
    <w:p>
      <w:pPr>
        <w:pStyle w:val="ListBullet"/>
        <w:ind w:left="360" w:hanging="360"/>
      </w:pPr>
      <w:r>
        <w:rPr>
          <w:rFonts w:ascii="Calibri" w:hAnsi="Calibri"/>
          <w:b/>
          <w:color w:val="525866"/>
          <w:sz w:val="22"/>
        </w:rPr>
        <w:t>Implication:</w:t>
      </w:r>
      <w:r>
        <w:rPr>
          <w:rFonts w:ascii="Calibri" w:hAnsi="Calibri"/>
          <w:color w:val="525866"/>
          <w:sz w:val="22"/>
        </w:rPr>
        <w:t xml:space="preserve"> Specialty mix tailwind continuing into Q2; MRD is a key long-term growth driver with ~5% current market penetration.</w:t>
      </w:r>
    </w:p>
    <w:p>
      <w:pPr>
        <w:pStyle w:val="ListBullet"/>
        <w:ind w:left="360" w:hanging="360"/>
      </w:pPr>
      <w:r>
        <w:rPr>
          <w:rFonts w:ascii="Calibri" w:hAnsi="Calibri"/>
          <w:b/>
          <w:color w:val="525866"/>
          <w:sz w:val="22"/>
        </w:rPr>
        <w:t>Investor Day Announced for September 10, 2026 (New York City):</w:t>
      </w:r>
      <w:r>
        <w:rPr>
          <w:rFonts w:ascii="Calibri" w:hAnsi="Calibri"/>
          <w:color w:val="525866"/>
          <w:sz w:val="22"/>
        </w:rPr>
        <w:t xml:space="preserve"> Management announced a formal investor day, signaling confidence in the long-term strategic narrative and a desire to provide a comprehensive update. </w:t>
      </w:r>
    </w:p>
    <w:p>
      <w:pPr>
        <w:pStyle w:val="ListBullet"/>
        <w:ind w:left="360" w:hanging="360"/>
      </w:pPr>
      <w:r>
        <w:rPr>
          <w:rFonts w:ascii="Calibri" w:hAnsi="Calibri"/>
          <w:b/>
          <w:color w:val="525866"/>
          <w:sz w:val="22"/>
        </w:rPr>
        <w:t>Implication:</w:t>
      </w:r>
      <w:r>
        <w:rPr>
          <w:rFonts w:ascii="Calibri" w:hAnsi="Calibri"/>
          <w:color w:val="525866"/>
          <w:sz w:val="22"/>
        </w:rPr>
        <w:t xml:space="preserve"> Positive sentiment signal; may provide a catalyst for further multiple re-rating if management articulates a compelling multi-year framework.</w:t>
      </w:r>
    </w:p>
    <w:p>
      <w:r>
        <w:rPr>
          <w:rFonts w:ascii="Calibri" w:hAnsi="Calibri"/>
          <w:b/>
          <w:color w:val="525866"/>
          <w:sz w:val="22"/>
        </w:rPr>
        <w:t xml:space="preserve">Limitations: </w:t>
      </w:r>
      <w:r>
        <w:rPr>
          <w:rFonts w:ascii="Calibri" w:hAnsi="Calibri"/>
          <w:color w:val="525866"/>
          <w:sz w:val="22"/>
        </w:rPr>
        <w:t>OPK's BioReference business is significantly smaller and more geographically concentrated (NY/NJ) than LH's national operations. The revenue trends in OPK's retained diagnostics business reflect deliberate strategic choices (divesting esoteric tests, reducing footprint) rather than market demand signals. The earnout payment is a one-time financial event and does not provide ongoing visibility into the acquired oncology assets' performance under LH. OPK's 4K score reimbursement challenges are specific to that proprietary test and do not reflect broader payer trends for LH's diverse portfolio. Source: OPK Q2 2026 Earnings Release and Earnings Call Transcript (July 27,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10b5-1 planned sales — no discretionary open-market selling or buying. The CEO's sale of 5,903 shares in May was the largest by value but was pre-planned. Nothing in the insider activity signals unusual conviction in either direction.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Approx.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Shares Owned Post-Tx</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Schechter, Adam H.</w:t>
            </w:r>
          </w:p>
        </w:tc>
        <w:tc>
          <w:tcPr>
            <w:tcW w:type="dxa" w:w="1080"/>
          </w:tcPr>
          <w:p>
            <w:r>
              <w:rPr>
                <w:rFonts w:ascii="Calibri" w:hAnsi="Calibri"/>
                <w:sz w:val="22"/>
              </w:rPr>
              <w:t>President &amp; CEO, Director</w:t>
            </w:r>
          </w:p>
        </w:tc>
        <w:tc>
          <w:tcPr>
            <w:tcW w:type="dxa" w:w="1080"/>
          </w:tcPr>
          <w:p>
            <w:r>
              <w:rPr>
                <w:rFonts w:ascii="Calibri" w:hAnsi="Calibri"/>
                <w:sz w:val="22"/>
              </w:rPr>
              <w:t>10b5-1 Planned Sale</w:t>
            </w:r>
          </w:p>
        </w:tc>
        <w:tc>
          <w:tcPr>
            <w:tcW w:type="dxa" w:w="1080"/>
          </w:tcPr>
          <w:p>
            <w:r>
              <w:rPr>
                <w:rFonts w:ascii="Calibri" w:hAnsi="Calibri"/>
                <w:sz w:val="22"/>
              </w:rPr>
              <w:t>5,903</w:t>
            </w:r>
          </w:p>
        </w:tc>
        <w:tc>
          <w:tcPr>
            <w:tcW w:type="dxa" w:w="1080"/>
          </w:tcPr>
          <w:p>
            <w:r>
              <w:rPr>
                <w:rFonts w:ascii="Calibri" w:hAnsi="Calibri"/>
                <w:sz w:val="22"/>
              </w:rPr>
              <w:t>~$1.52M (at ~$257)</w:t>
            </w:r>
          </w:p>
        </w:tc>
        <w:tc>
          <w:tcPr>
            <w:tcW w:type="dxa" w:w="1080"/>
          </w:tcPr>
          <w:p>
            <w:r>
              <w:rPr>
                <w:rFonts w:ascii="Calibri" w:hAnsi="Calibri"/>
                <w:sz w:val="22"/>
              </w:rPr>
              <w:t>May 11, 2026</w:t>
            </w:r>
          </w:p>
        </w:tc>
        <w:tc>
          <w:tcPr>
            <w:tcW w:type="dxa" w:w="1080"/>
          </w:tcPr>
          <w:p>
            <w:r>
              <w:rPr>
                <w:rFonts w:ascii="Calibri" w:hAnsi="Calibri"/>
                <w:sz w:val="22"/>
              </w:rPr>
              <w:t>107,234</w:t>
            </w:r>
          </w:p>
        </w:tc>
        <w:tc>
          <w:tcPr>
            <w:tcW w:type="dxa" w:w="1080"/>
          </w:tcPr>
          <w:p>
            <w:r>
              <w:rPr>
                <w:rFonts w:ascii="Calibri" w:hAnsi="Calibri"/>
                <w:sz w:val="22"/>
              </w:rPr>
              <w:t>Pre-planned; largest sale by value in window; no discretionary signal</w:t>
            </w:r>
          </w:p>
        </w:tc>
      </w:tr>
      <w:tr>
        <w:tc>
          <w:tcPr>
            <w:tcW w:type="dxa" w:w="1080"/>
          </w:tcPr>
          <w:p>
            <w:r>
              <w:rPr>
                <w:rFonts w:ascii="Calibri" w:hAnsi="Calibri"/>
                <w:sz w:val="22"/>
              </w:rPr>
              <w:t>Kyle, Kathryn W.</w:t>
            </w:r>
          </w:p>
        </w:tc>
        <w:tc>
          <w:tcPr>
            <w:tcW w:type="dxa" w:w="1080"/>
          </w:tcPr>
          <w:p>
            <w:r>
              <w:rPr>
                <w:rFonts w:ascii="Calibri" w:hAnsi="Calibri"/>
                <w:sz w:val="22"/>
              </w:rPr>
              <w:t>EVP, Chief Legal Officer</w:t>
            </w:r>
          </w:p>
        </w:tc>
        <w:tc>
          <w:tcPr>
            <w:tcW w:type="dxa" w:w="1080"/>
          </w:tcPr>
          <w:p>
            <w:r>
              <w:rPr>
                <w:rFonts w:ascii="Calibri" w:hAnsi="Calibri"/>
                <w:sz w:val="22"/>
              </w:rPr>
              <w:t>10b5-1 Planned Sale</w:t>
            </w:r>
          </w:p>
        </w:tc>
        <w:tc>
          <w:tcPr>
            <w:tcW w:type="dxa" w:w="1080"/>
          </w:tcPr>
          <w:p>
            <w:r>
              <w:rPr>
                <w:rFonts w:ascii="Calibri" w:hAnsi="Calibri"/>
                <w:sz w:val="22"/>
              </w:rPr>
              <w:t>762</w:t>
            </w:r>
          </w:p>
        </w:tc>
        <w:tc>
          <w:tcPr>
            <w:tcW w:type="dxa" w:w="1080"/>
          </w:tcPr>
          <w:p>
            <w:r>
              <w:rPr>
                <w:rFonts w:ascii="Calibri" w:hAnsi="Calibri"/>
                <w:sz w:val="22"/>
              </w:rPr>
              <w:t>~$196K (at ~$257)</w:t>
            </w:r>
          </w:p>
        </w:tc>
        <w:tc>
          <w:tcPr>
            <w:tcW w:type="dxa" w:w="1080"/>
          </w:tcPr>
          <w:p>
            <w:r>
              <w:rPr>
                <w:rFonts w:ascii="Calibri" w:hAnsi="Calibri"/>
                <w:sz w:val="22"/>
              </w:rPr>
              <w:t>Jun 8, 2026</w:t>
            </w:r>
          </w:p>
        </w:tc>
        <w:tc>
          <w:tcPr>
            <w:tcW w:type="dxa" w:w="1080"/>
          </w:tcPr>
          <w:p>
            <w:r>
              <w:rPr>
                <w:rFonts w:ascii="Calibri" w:hAnsi="Calibri"/>
                <w:sz w:val="22"/>
              </w:rPr>
              <w:t>3,813</w:t>
            </w:r>
          </w:p>
        </w:tc>
        <w:tc>
          <w:tcPr>
            <w:tcW w:type="dxa" w:w="1080"/>
          </w:tcPr>
          <w:p>
            <w:r>
              <w:rPr>
                <w:rFonts w:ascii="Calibri" w:hAnsi="Calibri"/>
                <w:sz w:val="22"/>
              </w:rPr>
              <w:t>Pre-planned; routine 10b5-1 execution</w:t>
            </w:r>
          </w:p>
        </w:tc>
      </w:tr>
      <w:tr>
        <w:tc>
          <w:tcPr>
            <w:tcW w:type="dxa" w:w="1080"/>
          </w:tcPr>
          <w:p>
            <w:r>
              <w:rPr>
                <w:rFonts w:ascii="Calibri" w:hAnsi="Calibri"/>
                <w:sz w:val="22"/>
              </w:rPr>
              <w:t>Kyle, Kathryn W.</w:t>
            </w:r>
          </w:p>
        </w:tc>
        <w:tc>
          <w:tcPr>
            <w:tcW w:type="dxa" w:w="1080"/>
          </w:tcPr>
          <w:p>
            <w:r>
              <w:rPr>
                <w:rFonts w:ascii="Calibri" w:hAnsi="Calibri"/>
                <w:sz w:val="22"/>
              </w:rPr>
              <w:t>EVP, Chief Legal Officer</w:t>
            </w:r>
          </w:p>
        </w:tc>
        <w:tc>
          <w:tcPr>
            <w:tcW w:type="dxa" w:w="1080"/>
          </w:tcPr>
          <w:p>
            <w:r>
              <w:rPr>
                <w:rFonts w:ascii="Calibri" w:hAnsi="Calibri"/>
                <w:sz w:val="22"/>
              </w:rPr>
              <w:t>10b5-1 Planned Sale</w:t>
            </w:r>
          </w:p>
        </w:tc>
        <w:tc>
          <w:tcPr>
            <w:tcW w:type="dxa" w:w="1080"/>
          </w:tcPr>
          <w:p>
            <w:r>
              <w:rPr>
                <w:rFonts w:ascii="Calibri" w:hAnsi="Calibri"/>
                <w:sz w:val="22"/>
              </w:rPr>
              <w:t>92</w:t>
            </w:r>
          </w:p>
        </w:tc>
        <w:tc>
          <w:tcPr>
            <w:tcW w:type="dxa" w:w="1080"/>
          </w:tcPr>
          <w:p>
            <w:r>
              <w:rPr>
                <w:rFonts w:ascii="Calibri" w:hAnsi="Calibri"/>
                <w:sz w:val="22"/>
              </w:rPr>
              <w:t>~$26K (at ~$284)</w:t>
            </w:r>
          </w:p>
        </w:tc>
        <w:tc>
          <w:tcPr>
            <w:tcW w:type="dxa" w:w="1080"/>
          </w:tcPr>
          <w:p>
            <w:r>
              <w:rPr>
                <w:rFonts w:ascii="Calibri" w:hAnsi="Calibri"/>
                <w:sz w:val="22"/>
              </w:rPr>
              <w:t>Jul 2, 2026</w:t>
            </w:r>
          </w:p>
        </w:tc>
        <w:tc>
          <w:tcPr>
            <w:tcW w:type="dxa" w:w="1080"/>
          </w:tcPr>
          <w:p>
            <w:r>
              <w:rPr>
                <w:rFonts w:ascii="Calibri" w:hAnsi="Calibri"/>
                <w:sz w:val="22"/>
              </w:rPr>
              <w:t>3,904</w:t>
            </w:r>
          </w:p>
        </w:tc>
        <w:tc>
          <w:tcPr>
            <w:tcW w:type="dxa" w:w="1080"/>
          </w:tcPr>
          <w:p>
            <w:r>
              <w:rPr>
                <w:rFonts w:ascii="Calibri" w:hAnsi="Calibri"/>
                <w:sz w:val="22"/>
              </w:rPr>
              <w:t>Pre-planned; small routine sale</w:t>
            </w:r>
          </w:p>
        </w:tc>
      </w:tr>
      <w:tr>
        <w:tc>
          <w:tcPr>
            <w:tcW w:type="dxa" w:w="1080"/>
          </w:tcPr>
          <w:p>
            <w:r>
              <w:rPr>
                <w:rFonts w:ascii="Calibri" w:hAnsi="Calibri"/>
                <w:sz w:val="22"/>
              </w:rPr>
              <w:t>Vaughn, Bryan T.</w:t>
            </w:r>
          </w:p>
        </w:tc>
        <w:tc>
          <w:tcPr>
            <w:tcW w:type="dxa" w:w="1080"/>
          </w:tcPr>
          <w:p>
            <w:r>
              <w:rPr>
                <w:rFonts w:ascii="Calibri" w:hAnsi="Calibri"/>
                <w:sz w:val="22"/>
              </w:rPr>
              <w:t>EVP and President, Diagnostics</w:t>
            </w:r>
          </w:p>
        </w:tc>
        <w:tc>
          <w:tcPr>
            <w:tcW w:type="dxa" w:w="1080"/>
          </w:tcPr>
          <w:p>
            <w:r>
              <w:rPr>
                <w:rFonts w:ascii="Calibri" w:hAnsi="Calibri"/>
                <w:sz w:val="22"/>
              </w:rPr>
              <w:t>10b5-1 Planned Sale</w:t>
            </w:r>
          </w:p>
        </w:tc>
        <w:tc>
          <w:tcPr>
            <w:tcW w:type="dxa" w:w="1080"/>
          </w:tcPr>
          <w:p>
            <w:r>
              <w:rPr>
                <w:rFonts w:ascii="Calibri" w:hAnsi="Calibri"/>
                <w:sz w:val="22"/>
              </w:rPr>
              <w:t>234</w:t>
            </w:r>
          </w:p>
        </w:tc>
        <w:tc>
          <w:tcPr>
            <w:tcW w:type="dxa" w:w="1080"/>
          </w:tcPr>
          <w:p>
            <w:r>
              <w:rPr>
                <w:rFonts w:ascii="Calibri" w:hAnsi="Calibri"/>
                <w:sz w:val="22"/>
              </w:rPr>
              <w:t>~$66K (at ~$284)</w:t>
            </w:r>
          </w:p>
        </w:tc>
        <w:tc>
          <w:tcPr>
            <w:tcW w:type="dxa" w:w="1080"/>
          </w:tcPr>
          <w:p>
            <w:r>
              <w:rPr>
                <w:rFonts w:ascii="Calibri" w:hAnsi="Calibri"/>
                <w:sz w:val="22"/>
              </w:rPr>
              <w:t>Jul 2, 2026</w:t>
            </w:r>
          </w:p>
        </w:tc>
        <w:tc>
          <w:tcPr>
            <w:tcW w:type="dxa" w:w="1080"/>
          </w:tcPr>
          <w:p>
            <w:r>
              <w:rPr>
                <w:rFonts w:ascii="Calibri" w:hAnsi="Calibri"/>
                <w:sz w:val="22"/>
              </w:rPr>
              <w:t>6,746</w:t>
            </w:r>
          </w:p>
        </w:tc>
        <w:tc>
          <w:tcPr>
            <w:tcW w:type="dxa" w:w="1080"/>
          </w:tcPr>
          <w:p>
            <w:r>
              <w:rPr>
                <w:rFonts w:ascii="Calibri" w:hAnsi="Calibri"/>
                <w:sz w:val="22"/>
              </w:rPr>
              <w:t>Pre-planned; routine 10b5-1 execution</w:t>
            </w:r>
          </w:p>
        </w:tc>
      </w:tr>
    </w:tbl>
    <w:p>
      <w:r>
        <w:rPr>
          <w:rFonts w:ascii="Calibri" w:hAnsi="Calibri"/>
          <w:color w:val="525866"/>
          <w:sz w:val="22"/>
        </w:rPr>
        <w:t>All four transactions since Q1 earnings were executed under pre-established 10b5-1 trading plans — the standard mechanism for executives to sell shares on a scheduled basis without discretionary timing. There are no open-market buys or discretionary sales in the window. The absence of any open-market buying is not unusual given the stock's +22% run since Q1 earnings. No insider activity signals unusual concern or conviction ahead of the Q2 print. Source: Insider Transaction Data (SEC Form 4 Filings).</w:t>
      </w:r>
    </w:p>
    <w:p>
      <w:r>
        <w:rPr>
          <w:rFonts w:ascii="Calibri" w:hAnsi="Calibri"/>
          <w:i/>
          <w:color w:val="525866"/>
          <w:sz w:val="22"/>
        </w:rPr>
        <w:t>Form 4 Filing Links: Schechter (May 11, 2026) | Kyle (Jun 8, 2026) | Kyle (Jul 2, 2026) | Vaughn (Jul 2, 2026). All filings available via SEC EDGAR.</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