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hx-earnings-predictions--2026-07-29"/>
    <w:p>
      <w:pPr>
        <w:pStyle w:val="Heading1"/>
      </w:pPr>
      <w:r>
        <w:t xml:space="preserve">LHX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5.70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5.55B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GAAP diluted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2.90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2.79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Book-to-bill / orders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~1.1x vs. cons ~1.0x (backlog ~</w:t>
            </w:r>
            <m:oMath>
              <m:r>
                <m:t>41</m:t>
              </m:r>
              <m:r>
                <m:t>B</m:t>
              </m:r>
              <m:r>
                <m:rPr>
                  <m:sty m:val="p"/>
                </m:rPr>
                <m:t>+</m:t>
              </m:r>
              <m:r>
                <m:t>w</m:t>
              </m:r>
              <m:r>
                <m:rPr>
                  <m:sty m:val="p"/>
                </m:rPr>
                <m:t>/</m:t>
              </m:r>
              <m:r>
                <m:t>A</m:t>
              </m:r>
              <m:r>
                <m:t>M</m:t>
              </m:r>
              <m:r>
                <m:t>D</m:t>
              </m:r>
              <m:r>
                <m:t>T</m:t>
              </m:r>
              <m:r>
                <m:t>3</m:t>
              </m:r>
              <m:r>
                <m:t> </m:t>
              </m:r>
            </m:oMath>
            <w:r>
              <w:t xml:space="preserve">955M)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GAAP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11.55</m:t>
              </m:r>
              <m:r>
                <m:rPr>
                  <m:sty m:val="p"/>
                </m:rPr>
                <m:t>−</m:t>
              </m:r>
              <m:r>
                <m:t>11.75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11.52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23.3</m:t>
              </m:r>
              <m:r>
                <m:rPr>
                  <m:sty m:val="p"/>
                </m:rPr>
                <m:t>−</m:t>
              </m:r>
              <m:r>
                <m:t>23.6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23.3B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 cash flow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3.0B (FY26); back-half weighted, Q2 FCF trajectory scrutinized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CSD/comms segment growth acceleration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~5-6% vs. cons ~4% organic (Q2'26); credibility check after +3% Q1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AXYV missile-IPO timeline &amp; MAC ($25B) definitization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IPO ~2H26 raise ~$2B vs. cons no re-based guide; timing update only (FY26/2028)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(FOLLOW-THROUGH)</w:t>
            </w:r>
          </w:p>
        </w:tc>
        <w:tc>
          <w:tcPr/>
          <w:p>
            <w:pPr>
              <w:pStyle w:val="Compact"/>
            </w:pPr>
            <w:r>
              <w:t xml:space="preserve">Beat + a guidance raise (CFO teased July) plus a fresh ~$955M Golden Dome AMDT3 win drive positive FY26 revisions in a de-rated stock that is still ~20% off highs; defense-sector revision momentum supports follow-through. Risk to fade: the stock already bounced ~10% (277-&gt;305) into the print, so some good news is priced, and if the raise merely equals the Q2 beat the implied H2 is unchanged, capping upside — hence modest, not explosive, follow-through.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2026-07-29T01:36:04Z</dcterms:created>
  <dcterms:modified xsi:type="dcterms:W3CDTF">2026-07-29T01:36:04Z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