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lhx-earnings-predictions--2026-07-29"/>
    <w:p>
      <w:pPr>
        <w:pStyle w:val="Heading1"/>
      </w:pPr>
      <w:r>
        <w:t xml:space="preserve">LHX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LHX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~$2.92 vs. cons $2.79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LHX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~$5.95B vs. cons $5.79B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LHX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Free Cash Flow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150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300M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LHX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23.7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24.0B vs. cons $23.5B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LHX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11.70</m:t>
              </m:r>
              <m:r>
                <m:rPr>
                  <m:sty m:val="p"/>
                </m:rPr>
                <m:t>−</m:t>
              </m:r>
            </m:oMath>
            <w:r>
              <w:t xml:space="preserve">11.90 vs. cons $11.50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LHX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Free Cash Flow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~$3.0B vs. cons $3.0B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LHX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Missile Solutions/Axyv Segment Growth Outlook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~high-teens % growth vs. cons ~15%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LHX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LHX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+3.5% (FOLLOW-THROUGH)</w:t>
            </w:r>
          </w:p>
        </w:tc>
        <w:tc>
          <w:tcPr/>
          <w:p>
            <w:pPr>
              <w:pStyle w:val="Compact"/>
            </w:pPr>
            <w:r>
              <w:t xml:space="preserve">A beat-and-raise consistent with LMT/RTX peers should trigger a wave of estimate revisions upward for FY26/FY27 as analysts reprice the record backlog ($40B+), Golden Dome/space wins, and Axyv/Missile Solutions momentum into out-year models; with LHX still trading at a valuation discount to peers after underperforming YTD, incremental buy-side upgrades and price-target hikes over the following days should extend the initial pop rather than fade it, unless FCF weakness (still working-capital constrained after Q1's outflow) or continued guidance conservatism on the FY cash target caps the follow-through.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2026-07-29T01:40:18Z</dcterms:created>
  <dcterms:modified xsi:type="dcterms:W3CDTF">2026-07-29T01:40:18Z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