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Good, I have 2028 framework target: $27B revenue and $3.5B free cash flow by 2028. Now I have enough material to write a comprehensive earnings preview.Excellent — this confirms the HBTSS follow-on win materialized. Now I have all the pieces needed to write a thorough, well-sourced preview.I now have comprehensive material. Let me write the earnings preview.I have enough for a well-sourced preview. Let me compose it now.# L3Harris Technologies (NYSE: LHX) — Q2 2026 Earnings Preview</w:t>
      </w:r>
      <w:r>
        <w:t xml:space="preserve"> </w:t>
      </w:r>
      <w:r>
        <w:rPr>
          <w:b/>
          <w:bCs/>
        </w:rPr>
        <w:t xml:space="preserve">Reporting: Wednesday, July 29, 2026, after market close | Call at 5:00 p.m.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L3Harris comes into its second-quarter report riding a wave of positive sector momentum but with its own stock lagging peers YTD. Shares closed around</w:t>
      </w:r>
      <w:r>
        <w:t xml:space="preserve"> </w:t>
      </w:r>
      <m:oMath>
        <m:r>
          <m:t>305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,</m:t>
        </m:r>
        <m:r>
          <m:t>e</m:t>
        </m:r>
        <m:r>
          <m:t>s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f</m:t>
        </m:r>
        <m:r>
          <m:t>l</m:t>
        </m:r>
        <m:r>
          <m:t>a</m:t>
        </m:r>
        <m:r>
          <m:t>t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304 level at the start of 2026, while</w:t>
      </w:r>
      <w:r>
        <w:t xml:space="preserve"> </w:t>
      </w:r>
      <w:r>
        <w:rPr>
          <w:b/>
          <w:bCs/>
        </w:rPr>
        <w:t xml:space="preserve">General Dynamics is up ~15%, Lockheed Martin ~17%, and RTX ~17% over the same span</w:t>
      </w:r>
      <w:r>
        <w:t xml:space="preserve"> </w:t>
      </w:r>
      <w:r>
        <w:t xml:space="preserve">(based on price data), even after LHX round-tripped a sharp correction: the stock fell from a February high near $378 to a low near $278 in July before rallying ~9% in the last week of trading.</w:t>
      </w:r>
    </w:p>
    <w:p>
      <w:pPr>
        <w:pStyle w:val="BodyText"/>
      </w:pPr>
      <w:r>
        <w:t xml:space="preserve">That volatility has a clear narrative: a mid-June U.S.–Iran ceasefire briefly triggered a sector-wide "peace dividend" selloff — L3Harris shares fell roughly 6% in a single session as the diplomatic thaw prompted investors to rotate out of defense names despite the Axyv IPO news providing a brief offset. The conflict has since re-escalated sharply, with reports that the</w:t>
      </w:r>
      <w:r>
        <w:t xml:space="preserve"> </w:t>
      </w:r>
      <w:r>
        <w:rPr>
          <w:b/>
          <w:bCs/>
        </w:rPr>
        <w:t xml:space="preserve">Pentagon has warned the administration that a broader offensive risks depleting U.S. air-defense stockpiles in the Middle East</w:t>
      </w:r>
      <w:r>
        <w:t xml:space="preserve">, reviving urgency around munitions replenishment — a dynamic that plays directly into L3Harris's Missile Solutions/Axyv franchise. Peers have already reported strong results into this backdrop: Lockheed Martin posted Q2 EPS of $7.94 and lifted 2026 sales guidance to</w:t>
      </w:r>
      <w:r>
        <w:t xml:space="preserve"> </w:t>
      </w:r>
      <m:oMath>
        <m:r>
          <m:t>79.75</m:t>
        </m:r>
        <m:r>
          <m:t>B</m:t>
        </m:r>
        <m:r>
          <m:rPr>
            <m:sty m:val="p"/>
          </m:rPr>
          <m:t>–</m:t>
        </m:r>
      </m:oMath>
      <w:r>
        <w:t xml:space="preserve">81.75B on the back of munitions and F-35 ramps, and RTX delivered double-digit sales and earnings growth while raising its 2026 outlook for adjusted sales, EPS, and free cash flow. General Dynamics also reports July 29 (before the open), setting up a heavy sector data day.</w:t>
      </w:r>
    </w:p>
    <w:bookmarkEnd w:id="9"/>
    <w:bookmarkStart w:id="10" w:name="what-consensus-expects"/>
    <w:p>
      <w:pPr>
        <w:pStyle w:val="Heading2"/>
      </w:pPr>
      <w:r>
        <w:t xml:space="preserve">What Consensus Expects</w:t>
      </w:r>
    </w:p>
    <w:p>
      <w:pPr>
        <w:pStyle w:val="FirstParagraph"/>
      </w:pPr>
      <w:r>
        <w:t xml:space="preserve">Wall Street is looking for roughly</w:t>
      </w:r>
      <w:r>
        <w:t xml:space="preserve"> </w:t>
      </w:r>
      <m:oMath>
        <m:r>
          <m:t>2.79</m:t>
        </m:r>
        <m:r>
          <m:rPr>
            <m:sty m:val="p"/>
          </m:rPr>
          <m:t>–</m:t>
        </m:r>
      </m:oMath>
      <w:r>
        <w:rPr>
          <w:b/>
          <w:bCs/>
        </w:rPr>
        <w:t xml:space="preserve">2.80 in diluted EPS</w:t>
      </w:r>
      <w:r>
        <w:t xml:space="preserve"> </w:t>
      </w:r>
      <w:r>
        <w:t xml:space="preserve">(essentially flat to slightly up versus $2.78 a year ago) on</w:t>
      </w:r>
      <w:r>
        <w:t xml:space="preserve"> </w:t>
      </w:r>
      <w:r>
        <w:rPr>
          <w:b/>
          <w:bCs/>
        </w:rPr>
        <w:t xml:space="preserve">revenue of approximately $5.79 billion</w:t>
      </w:r>
      <w:r>
        <w:t xml:space="preserve">, which would represent about</w:t>
      </w:r>
      <w:r>
        <w:t xml:space="preserve"> </w:t>
      </w:r>
      <w:r>
        <w:rPr>
          <w:b/>
          <w:bCs/>
        </w:rPr>
        <w:t xml:space="preserve">6.8% year-over-year growth</w:t>
      </w:r>
      <w:r>
        <w:t xml:space="preserve">. L3Harris has beaten EPS estimates in three of its last four quarters, including a 7.51% surprise last quarter, giving it a track record of conservative guide/beat execution that investors will be watching to see continue.</w:t>
      </w:r>
    </w:p>
    <w:bookmarkEnd w:id="10"/>
    <w:bookmarkStart w:id="11" w:name="what-to-watch-in-the-print"/>
    <w:p>
      <w:pPr>
        <w:pStyle w:val="Heading2"/>
      </w:pPr>
      <w:r>
        <w:t xml:space="preserve">What to Watch in the Print</w:t>
      </w:r>
    </w:p>
    <w:p>
      <w:pPr>
        <w:pStyle w:val="FirstParagraph"/>
      </w:pPr>
      <w:r>
        <w:rPr>
          <w:b/>
          <w:bCs/>
        </w:rPr>
        <w:t xml:space="preserve">1. Guidance cadence and the "conservative Q1" question.</w:t>
      </w:r>
      <w:r>
        <w:t xml:space="preserve"> </w:t>
      </w:r>
      <w:r>
        <w:t xml:space="preserve">Q1 2026 was a blowout — revenue grew</w:t>
      </w:r>
      <w:r>
        <w:t xml:space="preserve"> </w:t>
      </w:r>
      <w:r>
        <w:rPr>
          <w:b/>
          <w:bCs/>
        </w:rPr>
        <w:t xml:space="preserve">over $600 million or 15% organically</w:t>
      </w:r>
      <w:r>
        <w:t xml:space="preserve">, marking the ninth organic growth quarter in the last ten, yet management held full-year revenue guidance at</w:t>
      </w:r>
      <w:r>
        <w:t xml:space="preserve"> </w:t>
      </w:r>
      <m:oMath>
        <m:r>
          <m:t>23</m:t>
        </m:r>
        <m:r>
          <m:rPr>
            <m:sty m:val="p"/>
          </m:rPr>
          <m:t>–</m:t>
        </m:r>
      </m:oMath>
      <w:r>
        <w:t xml:space="preserve">23.5 billion (~7% organic growth at the midpoint) while only nudging EPS guidance up by $0.10 to</w:t>
      </w:r>
      <w:r>
        <w:t xml:space="preserve"> </w:t>
      </w:r>
      <m:oMath>
        <m:r>
          <m:t>11.40</m:t>
        </m:r>
        <m:r>
          <m:rPr>
            <m:sty m:val="p"/>
          </m:rPr>
          <m:t>–</m:t>
        </m:r>
      </m:oMath>
      <w:r>
        <w:t xml:space="preserve">11.60. On the Q1 call, CFO Ken Sharp acknowledged "there's a level of conservatism in there" and told investors "you'll see us in July" — explicitly setting up this print as the moment for a more meaningful guidance raise. Given the strength across peers (Lockheed and RTX both raised guidance materially this cycle), the bar for L3Harris to follow suit is elevated; a reiteration without an upward revision could disappoint after the sector's recent re-rating.</w:t>
      </w:r>
    </w:p>
    <w:p>
      <w:pPr>
        <w:pStyle w:val="BodyText"/>
      </w:pPr>
      <w:r>
        <w:rPr>
          <w:b/>
          <w:bCs/>
        </w:rPr>
        <w:t xml:space="preserve">2. Segment momentum, especially Space &amp; Mission Systems (SMS).</w:t>
      </w:r>
      <w:r>
        <w:t xml:space="preserve"> </w:t>
      </w:r>
      <w:r>
        <w:t xml:space="preserve">SMS was the standout in Q1, with revenue up 24% year-over-year to $2.99 billion, driven by ramps in classified and international missionized aircraft programs, a material-procurement milestone tied to a classified contract, and higher Space, Mission Networks and Maritime volumes. Investors should watch whether this pace is sustainable — CEO Chris Kubasik noted the international ISR pipeline alone is roughly $40 billion, and the segment has been buoyed by a steady cadence of Golden Dome-related satellite awards. Since Q1, L3Harris was awarded a $955 million Space Development Agency contract in July to build 18 Accelerated Missile Defense Tranche 3 satellites, extending its win streak in missile-tracking/Golden Dome architecture and validating the HBTSS follow-on thesis management flagged last quarter.</w:t>
      </w:r>
    </w:p>
    <w:p>
      <w:pPr>
        <w:pStyle w:val="BodyText"/>
      </w:pPr>
      <w:r>
        <w:rPr>
          <w:b/>
          <w:bCs/>
        </w:rPr>
        <w:t xml:space="preserve">3. Missile Solutions / Axyv trajectory and the pending IPO.</w:t>
      </w:r>
      <w:r>
        <w:t xml:space="preserve"> </w:t>
      </w:r>
      <w:r>
        <w:t xml:space="preserve">Missile Solutions grew revenue 18% in Q1 to $990 million with margin up 110 bps to 12.5%, and management is negotiating a roughly $25 billion pipeline of Munitions Acceleration Council framework agreements (as a solid-rocket-motor supplier to Lockheed and Raytheon) that it expects to convert to definitized contracts by year-end. Layered on top is the planned IPO of the renamed</w:t>
      </w:r>
      <w:r>
        <w:t xml:space="preserve"> </w:t>
      </w:r>
      <w:r>
        <w:rPr>
          <w:b/>
          <w:bCs/>
        </w:rPr>
        <w:t xml:space="preserve">Axyv</w:t>
      </w:r>
      <w:r>
        <w:t xml:space="preserve"> </w:t>
      </w:r>
      <w:r>
        <w:t xml:space="preserve">missile business — L3Harris confidentially filed an S-1 in April, and has since brought on JPMorgan and Morgan Stanley to lead an offering targeted for the second half of 2026 with potential proceeds around $2 billion, while retaining more than 80% ownership. With the Iran conflict raising the political and budgetary premium on munitions capacity, expect heavy analyst focus on (a) timing/valuation commentary for the IPO, (b) progress on the $1 billion DoW investment and multiyear framework negotiations, and (c) whether current guidance still excludes IPO/divestiture impacts, as management reiterated in Q1.</w:t>
      </w:r>
    </w:p>
    <w:p>
      <w:pPr>
        <w:pStyle w:val="BodyText"/>
      </w:pPr>
      <w:r>
        <w:rPr>
          <w:b/>
          <w:bCs/>
        </w:rPr>
        <w:t xml:space="preserve">4. Communications &amp; Spectrum Dominance (CSD) reacceleration.</w:t>
      </w:r>
      <w:r>
        <w:t xml:space="preserve"> </w:t>
      </w:r>
      <w:r>
        <w:t xml:space="preserve">CSD grew just 3% in Q1 — the softest of the three segments — though margins expanded 60 bps to 25.1% on night-vision and international radio strength plus a favorable legal settlement. Management guided that international demand (three NATO buyers — Czech Republic, Germany, Poland — with Belgium and Netherlands targeted for Q4) and the Army/Marine budget outlook (HMS funded at $515 million in 2027; Marines corps budget from $200 million to a requested $750 million) should help CSD "accelerate as the year progresses." This quarter is the first real test of that acceleration promise.</w:t>
      </w:r>
    </w:p>
    <w:p>
      <w:pPr>
        <w:pStyle w:val="BodyText"/>
      </w:pPr>
      <w:r>
        <w:rPr>
          <w:b/>
          <w:bCs/>
        </w:rPr>
        <w:t xml:space="preserve">5. Backlog, book-to-bill, and cash flow seasonality.</w:t>
      </w:r>
      <w:r>
        <w:t xml:space="preserve"> </w:t>
      </w:r>
      <w:r>
        <w:t xml:space="preserve">Backlog hit a record $40.7 billion in Q1 (1.4x book-to-bill), not yet including the pending $25 billion of MAC-related orders, and management has floated the possibility of $60–70 billion of backlog within 12 months. Free cash flow was an outflow of $187 million in Q1 due to working-capital timing, with management guiding cash generation "weighted to the back half of the year" toward the full-year $3.0 billion target — Q2 should show meaningful sequential improvement, and any shortfall here would raise questions about the back-half ramp needed to hit the annual number.</w:t>
      </w:r>
    </w:p>
    <w:p>
      <w:pPr>
        <w:pStyle w:val="BodyText"/>
      </w:pPr>
      <w:r>
        <w:rPr>
          <w:b/>
          <w:bCs/>
        </w:rPr>
        <w:t xml:space="preserve">6. New CFO's first full quarter of guidance ownership.</w:t>
      </w:r>
      <w:r>
        <w:t xml:space="preserve"> </w:t>
      </w:r>
      <w:r>
        <w:t xml:space="preserve">Ken Sharp, who joined in mid-March, gave a measured first-quarter performance ("I'm 45 days into the job... I think you'll see us in July"), so this call is effectively his first opportunity to put a fuller stamp on the outlook, margin framework, and capital allocation priorities (buybacks were $296 million in Q1, dividends $238 million).</w:t>
      </w:r>
    </w:p>
    <w:bookmarkEnd w:id="11"/>
    <w:bookmarkStart w:id="12" w:name="key-debate-for-investors"/>
    <w:p>
      <w:pPr>
        <w:pStyle w:val="Heading2"/>
      </w:pPr>
      <w:r>
        <w:t xml:space="preserve">Key Debate for Investors</w:t>
      </w:r>
    </w:p>
    <w:p>
      <w:pPr>
        <w:pStyle w:val="FirstParagraph"/>
      </w:pPr>
      <w:r>
        <w:t xml:space="preserve">The bull case rests on durable, multi-year demand tailwinds: record backlog, accelerating international orders (2.2x book-to-bill internationally in Q1), Golden Dome/space wins, and the Axyv IPO as a value-unlock catalyst — all reinforced by an active Iran conflict that is stressing munitions inventories and could pull forward reconciliation-funded demand. The bear/skeptic case centers on valuation (LHX has traded in the high-30x/40x forward P/E range this year) leaving little room for error, the stock's underperformance versus peers who have already delivered guidance raises this cycle, and execution risk around simultaneously running a record ramp in production capacity, a segment carve-out/IPO, and a majority-stake sale of Space Propulsion &amp; Power Systems — all while integrating a new CFO. A guidance raise consistent with what Lockheed and RTX have already delivered, paired with continued triple-digit-basis-point margin expansion, would likely be read as the catalyst needed to close LHX's valuation/performance gap with peers; a "reiterate and wait" outcome, even with a solid beat, risks another muted reaction given how much good news (Golden Dome awards, Axyv progress, budget tailwinds) is already known to the market.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2026-07-29T01:40:18Z</dcterms:created>
  <dcterms:modified xsi:type="dcterms:W3CDTF">2026-07-29T01:40:18Z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