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x-earnings-predictions--2026-07-29"/>
    <w:p>
      <w:pPr>
        <w:pStyle w:val="Heading1"/>
      </w:pPr>
      <w:r>
        <w:t xml:space="preserve">LHX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~$5.93B vs. cons $5.81B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~$2.87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segment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~15.9% vs. cons 16.0%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~$23.75B midpoint vs. cons $23.58B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GAAP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~$11.60 midpoint vs. cons $11.54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~$3.00B vs. cons $2.99B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+1.6% (FADE)</w:t>
            </w:r>
          </w:p>
        </w:tc>
        <w:tc>
          <w:tcPr/>
          <w:p>
            <w:pPr>
              <w:pStyle w:val="Compact"/>
            </w:pPr>
            <w:r>
              <w:t xml:space="preserve">A revenue and EPS beat plus a modest FY2026 revenue raise should drive the initial gain, but unchanged margin and free-cash-flow guidance imply limited out-period EPS revisions; investment, working-capital and transaction complexity should cause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2026-07-29T01:36:55Z</dcterms:created>
  <dcterms:modified xsi:type="dcterms:W3CDTF">2026-07-29T01:36:55Z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