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7e51a431b741b269a65f4a5bfbebe300b033cd"/>
    <w:p>
      <w:pPr>
        <w:pStyle w:val="Heading1"/>
      </w:pPr>
      <w:r>
        <w:t xml:space="preserve">L3Harris Technologies (LHX) — 2Q26 Earnings Preview</w:t>
      </w:r>
    </w:p>
    <w:p>
      <w:pPr>
        <w:pStyle w:val="BlockText"/>
      </w:pPr>
      <w:r>
        <w:rPr>
          <w:b/>
          <w:bCs/>
        </w:rPr>
        <w:t xml:space="preserve">Timing correction:</w:t>
      </w:r>
      <w:r>
        <w:t xml:space="preserve"> </w:t>
      </w:r>
      <w:r>
        <w:t xml:space="preserve">L3Harris is scheduled to release results</w:t>
      </w:r>
      <w:r>
        <w:t xml:space="preserve"> </w:t>
      </w:r>
      <w:r>
        <w:rPr>
          <w:b/>
          <w:bCs/>
        </w:rPr>
        <w:t xml:space="preserve">after the market closes today, Wednesday, July 29, 2026</w:t>
      </w:r>
      <w:r>
        <w:t xml:space="preserve">, followed by its earnings call at</w:t>
      </w:r>
      <w:r>
        <w:t xml:space="preserve"> </w:t>
      </w:r>
      <w:r>
        <w:rPr>
          <w:b/>
          <w:bCs/>
        </w:rPr>
        <w:t xml:space="preserve">5:00 p.m. ET</w:t>
      </w:r>
      <w:r>
        <w:t xml:space="preserve">—not tomorrow. (</w:t>
      </w:r>
      <w:hyperlink r:id="rId9">
        <w:r>
          <w:rPr>
            <w:rStyle w:val="Hyperlink"/>
          </w:rPr>
          <w:t xml:space="preserve">investors.l3harris.com</w:t>
        </w:r>
      </w:hyperlink>
      <w:r>
        <w:t xml:space="preserve">)</w:t>
      </w:r>
    </w:p>
    <w:bookmarkStart w:id="11" w:name="investment-setup"/>
    <w:p>
      <w:pPr>
        <w:pStyle w:val="Heading2"/>
      </w:pPr>
      <w:r>
        <w:t xml:space="preserve">Investment setup</w:t>
      </w:r>
    </w:p>
    <w:p>
      <w:pPr>
        <w:pStyle w:val="FirstParagraph"/>
      </w:pPr>
      <w:r>
        <w:t xml:space="preserve">The central question is no longer whether demand is strong. L3Harris has demonstrated exceptional demand across missile defense, space sensing, missionized aircraft and resilient communications.</w:t>
      </w:r>
    </w:p>
    <w:p>
      <w:pPr>
        <w:pStyle w:val="BodyText"/>
      </w:pPr>
      <w:r>
        <w:t xml:space="preserve">The issue going into Q2 is whether that demand is converting into:</w:t>
      </w:r>
    </w:p>
    <w:p>
      <w:pPr>
        <w:pStyle w:val="Compact"/>
        <w:numPr>
          <w:ilvl w:val="0"/>
          <w:numId w:val="1001"/>
        </w:numPr>
      </w:pPr>
      <w:r>
        <w:rPr>
          <w:b/>
          <w:bCs/>
        </w:rPr>
        <w:t xml:space="preserve">Funded orders and backlog</w:t>
      </w:r>
    </w:p>
    <w:p>
      <w:pPr>
        <w:pStyle w:val="Compact"/>
        <w:numPr>
          <w:ilvl w:val="0"/>
          <w:numId w:val="1001"/>
        </w:numPr>
      </w:pPr>
      <w:r>
        <w:rPr>
          <w:b/>
          <w:bCs/>
        </w:rPr>
        <w:t xml:space="preserve">Sustainable organic growth rather than milestone-driven volatility</w:t>
      </w:r>
    </w:p>
    <w:p>
      <w:pPr>
        <w:pStyle w:val="Compact"/>
        <w:numPr>
          <w:ilvl w:val="0"/>
          <w:numId w:val="1001"/>
        </w:numPr>
      </w:pPr>
      <w:r>
        <w:rPr>
          <w:b/>
          <w:bCs/>
        </w:rPr>
        <w:t xml:space="preserve">Clean margin expansion</w:t>
      </w:r>
    </w:p>
    <w:p>
      <w:pPr>
        <w:pStyle w:val="Compact"/>
        <w:numPr>
          <w:ilvl w:val="0"/>
          <w:numId w:val="1001"/>
        </w:numPr>
      </w:pPr>
      <w:r>
        <w:rPr>
          <w:b/>
          <w:bCs/>
        </w:rPr>
        <w:t xml:space="preserve">Cash flow sufficient to support an aggressive capacity buildout</w:t>
      </w:r>
    </w:p>
    <w:p>
      <w:pPr>
        <w:pStyle w:val="Compact"/>
        <w:numPr>
          <w:ilvl w:val="0"/>
          <w:numId w:val="1001"/>
        </w:numPr>
      </w:pPr>
      <w:r>
        <w:rPr>
          <w:b/>
          <w:bCs/>
        </w:rPr>
        <w:t xml:space="preserve">Incremental shareholder value from the Missile Solutions IPO rather than added complexity and dilution</w:t>
      </w:r>
    </w:p>
    <w:p>
      <w:pPr>
        <w:pStyle w:val="FirstParagraph"/>
      </w:pPr>
      <w:r>
        <w:t xml:space="preserve">Q1 set a high bar: organic revenue grew 15%, orders reached $7.8 billion, book-to-bill was 1.4x, backlog hit $40.7 billion and GAAP EPS increased 33%. Management acknowledged some conservatism in its full-year revenue outlook, making Q2 the logical point for a potential guidance adjustment. (</w:t>
      </w:r>
      <w:hyperlink r:id="rId10">
        <w:r>
          <w:rPr>
            <w:rStyle w:val="Hyperlink"/>
          </w:rPr>
          <w:t xml:space="preserve">investors.l3harris.com</w:t>
        </w:r>
      </w:hyperlink>
      <w:r>
        <w:t xml:space="preserve">)</w:t>
      </w:r>
    </w:p>
    <w:bookmarkEnd w:id="11"/>
    <w:bookmarkStart w:id="13" w:name="expectations-and-existing-guidance"/>
    <w:p>
      <w:pPr>
        <w:pStyle w:val="Heading2"/>
      </w:pPr>
      <w:r>
        <w:t xml:space="preserve">Expectations and existing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consensus / company outlook</w:t>
            </w:r>
          </w:p>
        </w:tc>
      </w:tr>
      <w:tr>
        <w:tc>
          <w:tcPr/>
          <w:p>
            <w:pPr>
              <w:pStyle w:val="Compact"/>
            </w:pPr>
            <w:r>
              <w:t xml:space="preserve">Q2 revenue consensus</w:t>
            </w:r>
          </w:p>
        </w:tc>
        <w:tc>
          <w:tcPr/>
          <w:p>
            <w:pPr>
              <w:pStyle w:val="Compact"/>
              <w:jc w:val="right"/>
            </w:pPr>
            <w:r>
              <w:t xml:space="preserve">Approximately</w:t>
            </w:r>
            <w:r>
              <w:t xml:space="preserve"> </w:t>
            </w:r>
            <w:r>
              <w:rPr>
                <w:b/>
                <w:bCs/>
              </w:rPr>
              <w:t xml:space="preserve">$5.81 billion</w:t>
            </w:r>
          </w:p>
        </w:tc>
      </w:tr>
      <w:tr>
        <w:tc>
          <w:tcPr/>
          <w:p>
            <w:pPr>
              <w:pStyle w:val="Compact"/>
            </w:pPr>
            <w:r>
              <w:t xml:space="preserve">Q2 GAAP EPS consensus</w:t>
            </w:r>
          </w:p>
        </w:tc>
        <w:tc>
          <w:tcPr/>
          <w:p>
            <w:pPr>
              <w:pStyle w:val="Compact"/>
              <w:jc w:val="right"/>
            </w:pPr>
            <w:r>
              <w:t xml:space="preserve">Approximately</w:t>
            </w:r>
            <w:r>
              <w:t xml:space="preserve"> </w:t>
            </w:r>
            <w:r>
              <w:rPr>
                <w:b/>
                <w:bCs/>
              </w:rPr>
              <w:t xml:space="preserve">$2.80</w:t>
            </w:r>
          </w:p>
        </w:tc>
      </w:tr>
      <w:tr>
        <w:tc>
          <w:tcPr/>
          <w:p>
            <w:pPr>
              <w:pStyle w:val="Compact"/>
            </w:pPr>
            <w:r>
              <w:t xml:space="preserve">2026 revenue guidance</w:t>
            </w:r>
          </w:p>
        </w:tc>
        <w:tc>
          <w:tcPr/>
          <w:p>
            <w:pPr>
              <w:pStyle w:val="Compact"/>
              <w:jc w:val="right"/>
            </w:pPr>
            <m:oMath>
              <m:r>
                <m:t>23.0</m:t>
              </m:r>
              <m:r>
                <m:rPr>
                  <m:sty m:val="p"/>
                </m:rPr>
                <m:t>–</m:t>
              </m:r>
            </m:oMath>
            <w:r>
              <w:rPr>
                <w:b/>
                <w:bCs/>
              </w:rPr>
              <w:t xml:space="preserve">23.5 billion</w:t>
            </w:r>
          </w:p>
        </w:tc>
      </w:tr>
      <w:tr>
        <w:tc>
          <w:tcPr/>
          <w:p>
            <w:pPr>
              <w:pStyle w:val="Compact"/>
            </w:pPr>
            <w:r>
              <w:t xml:space="preserve">2026 segment margin guidance</w:t>
            </w:r>
          </w:p>
        </w:tc>
        <w:tc>
          <w:tcPr/>
          <w:p>
            <w:pPr>
              <w:pStyle w:val="Compact"/>
              <w:jc w:val="right"/>
            </w:pPr>
            <w:r>
              <w:rPr>
                <w:b/>
                <w:bCs/>
              </w:rPr>
              <w:t xml:space="preserve">Low-16% range</w:t>
            </w:r>
          </w:p>
        </w:tc>
      </w:tr>
      <w:tr>
        <w:tc>
          <w:tcPr/>
          <w:p>
            <w:pPr>
              <w:pStyle w:val="Compact"/>
            </w:pPr>
            <w:r>
              <w:t xml:space="preserve">2026 GAAP EPS guidance</w:t>
            </w:r>
          </w:p>
        </w:tc>
        <w:tc>
          <w:tcPr/>
          <w:p>
            <w:pPr>
              <w:pStyle w:val="Compact"/>
              <w:jc w:val="right"/>
            </w:pPr>
            <m:oMath>
              <m:r>
                <m:t>11.40</m:t>
              </m:r>
              <m:r>
                <m:rPr>
                  <m:sty m:val="p"/>
                </m:rPr>
                <m:t>–</m:t>
              </m:r>
            </m:oMath>
            <w:r>
              <w:rPr>
                <w:b/>
                <w:bCs/>
              </w:rPr>
              <w:t xml:space="preserve">11.60</w:t>
            </w:r>
          </w:p>
        </w:tc>
      </w:tr>
      <w:tr>
        <w:tc>
          <w:tcPr/>
          <w:p>
            <w:pPr>
              <w:pStyle w:val="Compact"/>
            </w:pPr>
            <w:r>
              <w:t xml:space="preserve">2026 free cash flow guidance</w:t>
            </w:r>
          </w:p>
        </w:tc>
        <w:tc>
          <w:tcPr/>
          <w:p>
            <w:pPr>
              <w:pStyle w:val="Compact"/>
              <w:jc w:val="right"/>
            </w:pPr>
            <w:r>
              <w:rPr>
                <w:b/>
                <w:bCs/>
              </w:rPr>
              <w:t xml:space="preserve">$3.0 billion</w:t>
            </w:r>
          </w:p>
        </w:tc>
      </w:tr>
    </w:tbl>
    <w:p>
      <w:pPr>
        <w:pStyle w:val="BodyText"/>
      </w:pPr>
      <w:r>
        <w:t xml:space="preserve">The Q2 consensus implies roughly</w:t>
      </w:r>
      <w:r>
        <w:t xml:space="preserve"> </w:t>
      </w:r>
      <w:r>
        <w:rPr>
          <w:b/>
          <w:bCs/>
        </w:rPr>
        <w:t xml:space="preserve">7% reported revenue growth</w:t>
      </w:r>
      <w:r>
        <w:t xml:space="preserve"> </w:t>
      </w:r>
      <w:r>
        <w:t xml:space="preserve">and</w:t>
      </w:r>
      <w:r>
        <w:t xml:space="preserve"> </w:t>
      </w:r>
      <w:r>
        <w:rPr>
          <w:b/>
          <w:bCs/>
        </w:rPr>
        <w:t xml:space="preserve">15% GAAP EPS growth</w:t>
      </w:r>
      <w:r>
        <w:t xml:space="preserve"> </w:t>
      </w:r>
      <w:r>
        <w:t xml:space="preserve">against Q2 2025. Consensus can vary by provider, particularly because L3Harris changed its segment structure and transitioned its headline EPS presentation from non-GAAP to GAAP in 2026. (</w:t>
      </w:r>
      <w:hyperlink r:id="rId12">
        <w:r>
          <w:rPr>
            <w:rStyle w:val="Hyperlink"/>
          </w:rPr>
          <w:t xml:space="preserve">marketbeat.com</w:t>
        </w:r>
      </w:hyperlink>
      <w:r>
        <w:t xml:space="preserve">)</w:t>
      </w:r>
    </w:p>
    <w:p>
      <w:pPr>
        <w:pStyle w:val="BodyText"/>
      </w:pPr>
      <w:r>
        <w:t xml:space="preserve">The Street’s approximately $11.54 full-year EPS estimate sits near the midpoint of guidance, suggesting investors are not broadly positioned for a major EPS raise.</w:t>
      </w:r>
    </w:p>
    <w:bookmarkEnd w:id="13"/>
    <w:bookmarkStart w:id="15" w:name="X958c57ba7d2986e553713436a298a83f86d1f05"/>
    <w:p>
      <w:pPr>
        <w:pStyle w:val="Heading2"/>
      </w:pPr>
      <w:r>
        <w:t xml:space="preserve">The most important issue: orders and backlog</w:t>
      </w:r>
    </w:p>
    <w:p>
      <w:pPr>
        <w:pStyle w:val="FirstParagraph"/>
      </w:pPr>
      <w:r>
        <w:t xml:space="preserve">Two announcements on July 27 materially strengthened the long-term Missile Solutions story:</w:t>
      </w:r>
    </w:p>
    <w:p>
      <w:pPr>
        <w:pStyle w:val="Compact"/>
        <w:numPr>
          <w:ilvl w:val="0"/>
          <w:numId w:val="1002"/>
        </w:numPr>
      </w:pPr>
      <w:r>
        <w:t xml:space="preserve">A seven-year PAC-3 MSE framework that would allow L3Harris to</w:t>
      </w:r>
      <w:r>
        <w:t xml:space="preserve"> </w:t>
      </w:r>
      <w:r>
        <w:rPr>
          <w:b/>
          <w:bCs/>
        </w:rPr>
        <w:t xml:space="preserve">nearly triple propulsion production</w:t>
      </w:r>
    </w:p>
    <w:p>
      <w:pPr>
        <w:pStyle w:val="Compact"/>
        <w:numPr>
          <w:ilvl w:val="0"/>
          <w:numId w:val="1002"/>
        </w:numPr>
      </w:pPr>
      <w:r>
        <w:t xml:space="preserve">A seven-year THAAD framework intended to</w:t>
      </w:r>
      <w:r>
        <w:t xml:space="preserve"> </w:t>
      </w:r>
      <w:r>
        <w:rPr>
          <w:b/>
          <w:bCs/>
        </w:rPr>
        <w:t xml:space="preserve">quadruple propulsion production</w:t>
      </w:r>
    </w:p>
    <w:p>
      <w:pPr>
        <w:pStyle w:val="FirstParagraph"/>
      </w:pPr>
      <w:r>
        <w:t xml:space="preserve">Both are expected to be definitized later in 2026. (</w:t>
      </w:r>
      <w:hyperlink r:id="rId14">
        <w:r>
          <w:rPr>
            <w:rStyle w:val="Hyperlink"/>
          </w:rPr>
          <w:t xml:space="preserve">l3harris.com</w:t>
        </w:r>
      </w:hyperlink>
      <w:r>
        <w:t xml:space="preserve">)</w:t>
      </w:r>
    </w:p>
    <w:p>
      <w:pPr>
        <w:pStyle w:val="BodyText"/>
      </w:pPr>
      <w:r>
        <w:t xml:space="preserve">These agreements are strategically significant but were signed after the quarter ended and are not yet definitized contracts. Investors should therefore distinguish between:</w:t>
      </w:r>
    </w:p>
    <w:p>
      <w:pPr>
        <w:pStyle w:val="Compact"/>
        <w:numPr>
          <w:ilvl w:val="0"/>
          <w:numId w:val="1003"/>
        </w:numPr>
      </w:pPr>
      <w:r>
        <w:rPr>
          <w:b/>
          <w:bCs/>
        </w:rPr>
        <w:t xml:space="preserve">Framework visibility</w:t>
      </w:r>
    </w:p>
    <w:p>
      <w:pPr>
        <w:pStyle w:val="Compact"/>
        <w:numPr>
          <w:ilvl w:val="0"/>
          <w:numId w:val="1003"/>
        </w:numPr>
      </w:pPr>
      <w:r>
        <w:rPr>
          <w:b/>
          <w:bCs/>
        </w:rPr>
        <w:t xml:space="preserve">Funded orders</w:t>
      </w:r>
    </w:p>
    <w:p>
      <w:pPr>
        <w:pStyle w:val="Compact"/>
        <w:numPr>
          <w:ilvl w:val="0"/>
          <w:numId w:val="1003"/>
        </w:numPr>
      </w:pPr>
      <w:r>
        <w:rPr>
          <w:b/>
          <w:bCs/>
        </w:rPr>
        <w:t xml:space="preserve">Reported backlog</w:t>
      </w:r>
    </w:p>
    <w:p>
      <w:pPr>
        <w:pStyle w:val="Compact"/>
        <w:numPr>
          <w:ilvl w:val="0"/>
          <w:numId w:val="1003"/>
        </w:numPr>
      </w:pPr>
      <w:r>
        <w:rPr>
          <w:b/>
          <w:bCs/>
        </w:rPr>
        <w:t xml:space="preserve">Revenue timing</w:t>
      </w:r>
    </w:p>
    <w:p>
      <w:pPr>
        <w:pStyle w:val="FirstParagraph"/>
      </w:pPr>
      <w:r>
        <w:t xml:space="preserve">Management said after Q1 that approximately $25 billion of potential Munitions Acceleration Council orders was not yet included in backlog. The key question for the call is how much of that opportunity is now covered by agreed commercial frameworks and when it can formally enter orders and backlog.</w:t>
      </w:r>
    </w:p>
    <w:p>
      <w:pPr>
        <w:pStyle w:val="BodyText"/>
      </w:pPr>
      <w:r>
        <w:t xml:space="preserve">A strong headline book-to-bill is helpful, but an explicit bridge from the current $40.7 billion backlog toward management’s previously discussed</w:t>
      </w:r>
      <w:r>
        <w:t xml:space="preserve"> </w:t>
      </w:r>
      <m:oMath>
        <m:r>
          <m:t>60</m:t>
        </m:r>
        <m:r>
          <m:rPr>
            <m:sty m:val="p"/>
          </m:rPr>
          <m:t>–</m:t>
        </m:r>
      </m:oMath>
      <w:r>
        <w:t xml:space="preserve">70 billion potential would matter more.</w:t>
      </w:r>
    </w:p>
    <w:bookmarkEnd w:id="15"/>
    <w:bookmarkStart w:id="21" w:name="segment-watchlist"/>
    <w:p>
      <w:pPr>
        <w:pStyle w:val="Heading2"/>
      </w:pPr>
      <w:r>
        <w:t xml:space="preserve">Segment watchlist</w:t>
      </w:r>
    </w:p>
    <w:bookmarkStart w:id="17" w:name="Xc599fcc208d2c292613106cea397b8d60a5084e"/>
    <w:p>
      <w:pPr>
        <w:pStyle w:val="Heading3"/>
      </w:pPr>
      <w:r>
        <w:t xml:space="preserve">1. Space &amp; Mission Systems: can growth remain exceptional?</w:t>
      </w:r>
    </w:p>
    <w:p>
      <w:pPr>
        <w:pStyle w:val="FirstParagraph"/>
      </w:pPr>
      <w:r>
        <w:t xml:space="preserve">Space &amp; Mission Systems delivered 24% Q1 growth, driven by classified ISR, missionized aircraft, space and maritime programs. However, Q1 also benefited from a material-procurement milestone and more productive days, making some sequential normalization likely.</w:t>
      </w:r>
    </w:p>
    <w:p>
      <w:pPr>
        <w:pStyle w:val="BodyText"/>
      </w:pPr>
      <w:r>
        <w:t xml:space="preserve">The forward demand picture continues to strengthen. On July 13, the Space Force selected L3Harris to produce 18 Accelerated Missile Defense Tranche 3 satellites. L3Harris now says it has more than 70 missile-tracking and defense satellites on order. (</w:t>
      </w:r>
      <w:hyperlink r:id="rId16">
        <w:r>
          <w:rPr>
            <w:rStyle w:val="Hyperlink"/>
          </w:rPr>
          <w:t xml:space="preserve">l3harris.com</w:t>
        </w:r>
      </w:hyperlink>
      <w:r>
        <w:t xml:space="preserve">)</w:t>
      </w:r>
    </w:p>
    <w:p>
      <w:pPr>
        <w:pStyle w:val="BodyText"/>
      </w:pPr>
      <w:r>
        <w:rPr>
          <w:b/>
          <w:bCs/>
        </w:rPr>
        <w:t xml:space="preserve">What matters in Q2:</w:t>
      </w:r>
    </w:p>
    <w:p>
      <w:pPr>
        <w:pStyle w:val="Compact"/>
        <w:numPr>
          <w:ilvl w:val="0"/>
          <w:numId w:val="1004"/>
        </w:numPr>
      </w:pPr>
      <w:r>
        <w:t xml:space="preserve">Organic growth excluding unusual procurement milestones</w:t>
      </w:r>
    </w:p>
    <w:p>
      <w:pPr>
        <w:pStyle w:val="Compact"/>
        <w:numPr>
          <w:ilvl w:val="0"/>
          <w:numId w:val="1004"/>
        </w:numPr>
      </w:pPr>
      <w:r>
        <w:t xml:space="preserve">Execution on classified ISR programs</w:t>
      </w:r>
    </w:p>
    <w:p>
      <w:pPr>
        <w:pStyle w:val="Compact"/>
        <w:numPr>
          <w:ilvl w:val="0"/>
          <w:numId w:val="1004"/>
        </w:numPr>
      </w:pPr>
      <w:r>
        <w:t xml:space="preserve">Space program margins as production scales</w:t>
      </w:r>
    </w:p>
    <w:p>
      <w:pPr>
        <w:pStyle w:val="Compact"/>
        <w:numPr>
          <w:ilvl w:val="0"/>
          <w:numId w:val="1004"/>
        </w:numPr>
      </w:pPr>
      <w:r>
        <w:t xml:space="preserve">Timing and economics of the new satellite award</w:t>
      </w:r>
    </w:p>
    <w:p>
      <w:pPr>
        <w:pStyle w:val="Compact"/>
        <w:numPr>
          <w:ilvl w:val="0"/>
          <w:numId w:val="1004"/>
        </w:numPr>
      </w:pPr>
      <w:r>
        <w:t xml:space="preserve">Any update on additional Golden Dome opportunities</w:t>
      </w:r>
    </w:p>
    <w:p>
      <w:pPr>
        <w:pStyle w:val="Compact"/>
        <w:numPr>
          <w:ilvl w:val="0"/>
          <w:numId w:val="1004"/>
        </w:numPr>
      </w:pPr>
      <w:r>
        <w:t xml:space="preserve">Progress on the international missionized-aircraft pipeline</w:t>
      </w:r>
    </w:p>
    <w:p>
      <w:pPr>
        <w:pStyle w:val="FirstParagraph"/>
      </w:pPr>
      <w:r>
        <w:t xml:space="preserve">The risk is that rapid material procurement supports revenue but dilutes margins. Investors should favor operating-income growth over revenue growth achieved through low-margin pass-through content.</w:t>
      </w:r>
    </w:p>
    <w:bookmarkEnd w:id="17"/>
    <w:bookmarkStart w:id="19" w:name="X79219a9f09a3b707430b89b270ad35646677093"/>
    <w:p>
      <w:pPr>
        <w:pStyle w:val="Heading3"/>
      </w:pPr>
      <w:r>
        <w:t xml:space="preserve">2. Communications &amp; Spectrum Dominance: acceleration is expected</w:t>
      </w:r>
    </w:p>
    <w:p>
      <w:pPr>
        <w:pStyle w:val="FirstParagraph"/>
      </w:pPr>
      <w:r>
        <w:t xml:space="preserve">CSD grew only 3% in Q1, although its 25.1% margin remained outstanding. Management specifically said the business should accelerate as 2026 progresses.</w:t>
      </w:r>
    </w:p>
    <w:p>
      <w:pPr>
        <w:pStyle w:val="BodyText"/>
      </w:pPr>
      <w:r>
        <w:t xml:space="preserve">The Q1 margin also benefited from a favorable legal settlement, so Q2 should provide a cleaner view of underlying profitability.</w:t>
      </w:r>
    </w:p>
    <w:p>
      <w:pPr>
        <w:pStyle w:val="BodyText"/>
      </w:pPr>
      <w:r>
        <w:rPr>
          <w:b/>
          <w:bCs/>
        </w:rPr>
        <w:t xml:space="preserve">Key indicators:</w:t>
      </w:r>
    </w:p>
    <w:p>
      <w:pPr>
        <w:pStyle w:val="Compact"/>
        <w:numPr>
          <w:ilvl w:val="0"/>
          <w:numId w:val="1005"/>
        </w:numPr>
      </w:pPr>
      <w:r>
        <w:t xml:space="preserve">Acceleration in domestic and international tactical-radio sales</w:t>
      </w:r>
    </w:p>
    <w:p>
      <w:pPr>
        <w:pStyle w:val="Compact"/>
        <w:numPr>
          <w:ilvl w:val="0"/>
          <w:numId w:val="1005"/>
        </w:numPr>
      </w:pPr>
      <w:r>
        <w:t xml:space="preserve">Conversion of the 2.2x Q1 international book-to-bill into revenue</w:t>
      </w:r>
    </w:p>
    <w:p>
      <w:pPr>
        <w:pStyle w:val="Compact"/>
        <w:numPr>
          <w:ilvl w:val="0"/>
          <w:numId w:val="1005"/>
        </w:numPr>
      </w:pPr>
      <w:r>
        <w:t xml:space="preserve">Initial contribution from Next Generation Command and Control orders</w:t>
      </w:r>
    </w:p>
    <w:p>
      <w:pPr>
        <w:pStyle w:val="Compact"/>
        <w:numPr>
          <w:ilvl w:val="0"/>
          <w:numId w:val="1005"/>
        </w:numPr>
      </w:pPr>
      <w:r>
        <w:t xml:space="preserve">Continued night-vision and Next Generation Jammer growth</w:t>
      </w:r>
    </w:p>
    <w:p>
      <w:pPr>
        <w:pStyle w:val="Compact"/>
        <w:numPr>
          <w:ilvl w:val="0"/>
          <w:numId w:val="1005"/>
        </w:numPr>
      </w:pPr>
      <w:r>
        <w:t xml:space="preserve">Underlying margin near 25% without legal benefits</w:t>
      </w:r>
    </w:p>
    <w:p>
      <w:pPr>
        <w:pStyle w:val="Compact"/>
        <w:numPr>
          <w:ilvl w:val="0"/>
          <w:numId w:val="1005"/>
        </w:numPr>
      </w:pPr>
      <w:r>
        <w:t xml:space="preserve">VAMPIRE counter-drone production and customer adoption</w:t>
      </w:r>
    </w:p>
    <w:p>
      <w:pPr>
        <w:pStyle w:val="FirstParagraph"/>
      </w:pPr>
      <w:r>
        <w:t xml:space="preserve">L3Harris has begun high-volume VAMPIRE production and continues to expand the system’s interceptor options, but this remains more of a developing growth vector than a major current earnings contributor. (</w:t>
      </w:r>
      <w:hyperlink r:id="rId18">
        <w:r>
          <w:rPr>
            <w:rStyle w:val="Hyperlink"/>
          </w:rPr>
          <w:t xml:space="preserve">l3harris.com</w:t>
        </w:r>
      </w:hyperlink>
      <w:r>
        <w:t xml:space="preserve">)</w:t>
      </w:r>
    </w:p>
    <w:bookmarkEnd w:id="19"/>
    <w:bookmarkStart w:id="20" w:name="X6e288221dd82c02aa335d8d8bff0189586125ac"/>
    <w:p>
      <w:pPr>
        <w:pStyle w:val="Heading3"/>
      </w:pPr>
      <w:r>
        <w:t xml:space="preserve">3. Missile Solutions: execution now matters as much as demand</w:t>
      </w:r>
    </w:p>
    <w:p>
      <w:pPr>
        <w:pStyle w:val="FirstParagraph"/>
      </w:pPr>
      <w:r>
        <w:t xml:space="preserve">Missile Solutions grew 18% in Q1, with a 12.5% margin. Results included a roughly 30–40-basis-point benefit from legacy asset monetization, partly offset by unfavorable estimate-at-completion adjustments.</w:t>
      </w:r>
    </w:p>
    <w:p>
      <w:pPr>
        <w:pStyle w:val="BodyText"/>
      </w:pPr>
      <w:r>
        <w:t xml:space="preserve">The new PAC-3 and THAAD frameworks reinforce the long-term volume thesis, but Q2 investors should focus on current execution:</w:t>
      </w:r>
    </w:p>
    <w:p>
      <w:pPr>
        <w:pStyle w:val="Compact"/>
        <w:numPr>
          <w:ilvl w:val="0"/>
          <w:numId w:val="1006"/>
        </w:numPr>
      </w:pPr>
      <w:r>
        <w:t xml:space="preserve">Production growth on existing missile and munition programs</w:t>
      </w:r>
    </w:p>
    <w:p>
      <w:pPr>
        <w:pStyle w:val="Compact"/>
        <w:numPr>
          <w:ilvl w:val="0"/>
          <w:numId w:val="1006"/>
        </w:numPr>
      </w:pPr>
      <w:r>
        <w:t xml:space="preserve">Further favorable or unfavorable program adjustments</w:t>
      </w:r>
    </w:p>
    <w:p>
      <w:pPr>
        <w:pStyle w:val="Compact"/>
        <w:numPr>
          <w:ilvl w:val="0"/>
          <w:numId w:val="1006"/>
        </w:numPr>
      </w:pPr>
      <w:r>
        <w:t xml:space="preserve">Supplier readiness</w:t>
      </w:r>
    </w:p>
    <w:p>
      <w:pPr>
        <w:pStyle w:val="Compact"/>
        <w:numPr>
          <w:ilvl w:val="0"/>
          <w:numId w:val="1006"/>
        </w:numPr>
      </w:pPr>
      <w:r>
        <w:t xml:space="preserve">Labor and facility ramp costs</w:t>
      </w:r>
    </w:p>
    <w:p>
      <w:pPr>
        <w:pStyle w:val="Compact"/>
        <w:numPr>
          <w:ilvl w:val="0"/>
          <w:numId w:val="1006"/>
        </w:numPr>
      </w:pPr>
      <w:r>
        <w:t xml:space="preserve">Margin progression toward the mid-teens long-term target</w:t>
      </w:r>
    </w:p>
    <w:p>
      <w:pPr>
        <w:pStyle w:val="Compact"/>
        <w:numPr>
          <w:ilvl w:val="0"/>
          <w:numId w:val="1006"/>
        </w:numPr>
      </w:pPr>
      <w:r>
        <w:t xml:space="preserve">Cash terms attached to future multiyear contracts</w:t>
      </w:r>
    </w:p>
    <w:p>
      <w:pPr>
        <w:pStyle w:val="FirstParagraph"/>
      </w:pPr>
      <w:r>
        <w:t xml:space="preserve">The bull case depends on capacity investment producing repeatable, profitable output—not simply higher capital intensity.</w:t>
      </w:r>
    </w:p>
    <w:bookmarkEnd w:id="20"/>
    <w:bookmarkEnd w:id="21"/>
    <w:bookmarkStart w:id="22" w:name="X1400d34aba63b99a7bbea0059abbebc2f78f4ea"/>
    <w:p>
      <w:pPr>
        <w:pStyle w:val="Heading2"/>
      </w:pPr>
      <w:r>
        <w:t xml:space="preserve">Guidance: a revenue raise looks more likely than an EPS raise</w:t>
      </w:r>
    </w:p>
    <w:p>
      <w:pPr>
        <w:pStyle w:val="FirstParagraph"/>
      </w:pPr>
      <w:r>
        <w:t xml:space="preserve">After Q1’s 15% organic growth, management described the revenue guide as carrying some conservatism and suggested July would be the appropriate time to revisit it.</w:t>
      </w:r>
    </w:p>
    <w:p>
      <w:pPr>
        <w:pStyle w:val="BodyText"/>
      </w:pPr>
      <w:r>
        <w:t xml:space="preserve">That makes a modest revenue raise plausible if Q2 execution is clean. However, EPS upside may be constrained by:</w:t>
      </w:r>
    </w:p>
    <w:p>
      <w:pPr>
        <w:pStyle w:val="Compact"/>
        <w:numPr>
          <w:ilvl w:val="0"/>
          <w:numId w:val="1007"/>
        </w:numPr>
      </w:pPr>
      <w:r>
        <w:t xml:space="preserve">R&amp;D and go-to-market investment</w:t>
      </w:r>
    </w:p>
    <w:p>
      <w:pPr>
        <w:pStyle w:val="Compact"/>
        <w:numPr>
          <w:ilvl w:val="0"/>
          <w:numId w:val="1007"/>
        </w:numPr>
      </w:pPr>
      <w:r>
        <w:t xml:space="preserve">Capacity expansion costs</w:t>
      </w:r>
    </w:p>
    <w:p>
      <w:pPr>
        <w:pStyle w:val="Compact"/>
        <w:numPr>
          <w:ilvl w:val="0"/>
          <w:numId w:val="1007"/>
        </w:numPr>
      </w:pPr>
      <w:r>
        <w:t xml:space="preserve">Lower-margin material procurement</w:t>
      </w:r>
    </w:p>
    <w:p>
      <w:pPr>
        <w:pStyle w:val="Compact"/>
        <w:numPr>
          <w:ilvl w:val="0"/>
          <w:numId w:val="1007"/>
        </w:numPr>
      </w:pPr>
      <w:r>
        <w:t xml:space="preserve">Transaction expenses</w:t>
      </w:r>
    </w:p>
    <w:p>
      <w:pPr>
        <w:pStyle w:val="Compact"/>
        <w:numPr>
          <w:ilvl w:val="0"/>
          <w:numId w:val="1007"/>
        </w:numPr>
      </w:pPr>
      <w:r>
        <w:t xml:space="preserve">Tax-rate volatility</w:t>
      </w:r>
    </w:p>
    <w:p>
      <w:pPr>
        <w:pStyle w:val="Compact"/>
        <w:numPr>
          <w:ilvl w:val="0"/>
          <w:numId w:val="1007"/>
        </w:numPr>
      </w:pPr>
      <w:r>
        <w:t xml:space="preserve">Mixed program adjustments</w:t>
      </w:r>
    </w:p>
    <w:p>
      <w:pPr>
        <w:pStyle w:val="FirstParagraph"/>
      </w:pPr>
      <w:r>
        <w:t xml:space="preserve">A constructive outcome could therefore be:</w:t>
      </w:r>
    </w:p>
    <w:p>
      <w:pPr>
        <w:pStyle w:val="Compact"/>
        <w:numPr>
          <w:ilvl w:val="0"/>
          <w:numId w:val="1008"/>
        </w:numPr>
      </w:pPr>
      <w:r>
        <w:t xml:space="preserve">Revenue guidance raised toward</w:t>
      </w:r>
      <w:r>
        <w:t xml:space="preserve"> </w:t>
      </w:r>
      <m:oMath>
        <m:r>
          <m:t>23.5</m:t>
        </m:r>
        <m:r>
          <m:rPr>
            <m:sty m:val="p"/>
          </m:rPr>
          <m:t>–</m:t>
        </m:r>
      </m:oMath>
      <w:r>
        <w:rPr>
          <w:b/>
          <w:bCs/>
        </w:rPr>
        <w:t xml:space="preserve">24.0 billion</w:t>
      </w:r>
    </w:p>
    <w:p>
      <w:pPr>
        <w:pStyle w:val="Compact"/>
        <w:numPr>
          <w:ilvl w:val="0"/>
          <w:numId w:val="1008"/>
        </w:numPr>
      </w:pPr>
      <w:r>
        <w:t xml:space="preserve">Segment-margin guidance maintained around the low-16% range</w:t>
      </w:r>
    </w:p>
    <w:p>
      <w:pPr>
        <w:pStyle w:val="Compact"/>
        <w:numPr>
          <w:ilvl w:val="0"/>
          <w:numId w:val="1008"/>
        </w:numPr>
      </w:pPr>
      <w:r>
        <w:t xml:space="preserve">EPS guidance maintained or narrowed toward the upper half</w:t>
      </w:r>
    </w:p>
    <w:p>
      <w:pPr>
        <w:pStyle w:val="Compact"/>
        <w:numPr>
          <w:ilvl w:val="0"/>
          <w:numId w:val="1008"/>
        </w:numPr>
      </w:pPr>
      <w:r>
        <w:t xml:space="preserve">Free-cash-flow guidance reaffirmed at $3 billion</w:t>
      </w:r>
    </w:p>
    <w:p>
      <w:pPr>
        <w:pStyle w:val="FirstParagraph"/>
      </w:pPr>
      <w:r>
        <w:t xml:space="preserve">A revenue raise without corresponding operating-income or cash-flow improvement would be lower quality.</w:t>
      </w:r>
    </w:p>
    <w:bookmarkEnd w:id="22"/>
    <w:bookmarkStart w:id="23" w:name="cash-flow-is-the-main-financial-risk"/>
    <w:p>
      <w:pPr>
        <w:pStyle w:val="Heading2"/>
      </w:pPr>
      <w:r>
        <w:t xml:space="preserve">Cash flow is the main financial risk</w:t>
      </w:r>
    </w:p>
    <w:p>
      <w:pPr>
        <w:pStyle w:val="FirstParagraph"/>
      </w:pPr>
      <w:r>
        <w:t xml:space="preserve">Q1 free cash flow was negative $187 million, versus negative $101 million a year earlier, primarily because of working-capital timing. Management reiterated that cash generation would be heavily weighted to the second half.</w:t>
      </w:r>
    </w:p>
    <w:p>
      <w:pPr>
        <w:pStyle w:val="BodyText"/>
      </w:pPr>
      <w:r>
        <w:t xml:space="preserve">That seasonality is normal, but the $3 billion target now requires a significant conversion ramp. Q2 should show a clear improvement in:</w:t>
      </w:r>
    </w:p>
    <w:p>
      <w:pPr>
        <w:pStyle w:val="Compact"/>
        <w:numPr>
          <w:ilvl w:val="0"/>
          <w:numId w:val="1009"/>
        </w:numPr>
      </w:pPr>
      <w:r>
        <w:t xml:space="preserve">Receivables</w:t>
      </w:r>
    </w:p>
    <w:p>
      <w:pPr>
        <w:pStyle w:val="Compact"/>
        <w:numPr>
          <w:ilvl w:val="0"/>
          <w:numId w:val="1009"/>
        </w:numPr>
      </w:pPr>
      <w:r>
        <w:t xml:space="preserve">Contract assets</w:t>
      </w:r>
    </w:p>
    <w:p>
      <w:pPr>
        <w:pStyle w:val="Compact"/>
        <w:numPr>
          <w:ilvl w:val="0"/>
          <w:numId w:val="1009"/>
        </w:numPr>
      </w:pPr>
      <w:r>
        <w:t xml:space="preserve">Accounts payable</w:t>
      </w:r>
    </w:p>
    <w:p>
      <w:pPr>
        <w:pStyle w:val="Compact"/>
        <w:numPr>
          <w:ilvl w:val="0"/>
          <w:numId w:val="1009"/>
        </w:numPr>
      </w:pPr>
      <w:r>
        <w:t xml:space="preserve">Customer advances and milestone payments</w:t>
      </w:r>
    </w:p>
    <w:p>
      <w:pPr>
        <w:pStyle w:val="Compact"/>
        <w:numPr>
          <w:ilvl w:val="0"/>
          <w:numId w:val="1009"/>
        </w:numPr>
      </w:pPr>
      <w:r>
        <w:t xml:space="preserve">Cash from operations</w:t>
      </w:r>
    </w:p>
    <w:p>
      <w:pPr>
        <w:pStyle w:val="FirstParagraph"/>
      </w:pPr>
      <w:r>
        <w:t xml:space="preserve">Full-year capital expenditures were initially expected to be approximately $600 million, while the broader Missile Solutions plan involves billions of dollars of investment through 2028. The economic quality of the multiyear missile contracts will therefore depend heavily on customer funding and milestone structures.</w:t>
      </w:r>
    </w:p>
    <w:p>
      <w:pPr>
        <w:pStyle w:val="BodyText"/>
      </w:pPr>
      <w:r>
        <w:t xml:space="preserve">A weak Q2 cash result would not necessarily force a guidance cut, but it would make the second-half target more difficult to underwrite.</w:t>
      </w:r>
    </w:p>
    <w:bookmarkEnd w:id="23"/>
    <w:bookmarkStart w:id="27" w:name="portfolio-transactions"/>
    <w:p>
      <w:pPr>
        <w:pStyle w:val="Heading2"/>
      </w:pPr>
      <w:r>
        <w:t xml:space="preserve">Portfolio transactions</w:t>
      </w:r>
    </w:p>
    <w:p>
      <w:pPr>
        <w:pStyle w:val="FirstParagraph"/>
      </w:pPr>
      <w:r>
        <w:t xml:space="preserve">Two transaction updates are essential.</w:t>
      </w:r>
    </w:p>
    <w:bookmarkStart w:id="24" w:name="missile-solutions-ipo"/>
    <w:p>
      <w:pPr>
        <w:pStyle w:val="Heading3"/>
      </w:pPr>
      <w:r>
        <w:t xml:space="preserve">Missile Solutions IPO</w:t>
      </w:r>
    </w:p>
    <w:p>
      <w:pPr>
        <w:pStyle w:val="FirstParagraph"/>
      </w:pPr>
      <w:r>
        <w:t xml:space="preserve">L3Harris confidentially filed for an IPO of Missile Solutions, now named</w:t>
      </w:r>
      <w:r>
        <w:t xml:space="preserve"> </w:t>
      </w:r>
      <w:r>
        <w:rPr>
          <w:b/>
          <w:bCs/>
        </w:rPr>
        <w:t xml:space="preserve">AXYV</w:t>
      </w:r>
      <w:r>
        <w:t xml:space="preserve">, and previously targeted completion during the second half of 2026. L3Harris expects to retain control and consolidate the business.</w:t>
      </w:r>
    </w:p>
    <w:p>
      <w:pPr>
        <w:pStyle w:val="BodyText"/>
      </w:pPr>
      <w:r>
        <w:t xml:space="preserve">Investors need clarity on:</w:t>
      </w:r>
    </w:p>
    <w:p>
      <w:pPr>
        <w:pStyle w:val="Compact"/>
        <w:numPr>
          <w:ilvl w:val="0"/>
          <w:numId w:val="1010"/>
        </w:numPr>
      </w:pPr>
      <w:r>
        <w:t xml:space="preserve">IPO timing</w:t>
      </w:r>
    </w:p>
    <w:p>
      <w:pPr>
        <w:pStyle w:val="Compact"/>
        <w:numPr>
          <w:ilvl w:val="0"/>
          <w:numId w:val="1010"/>
        </w:numPr>
      </w:pPr>
      <w:r>
        <w:t xml:space="preserve">Expected primary capital raised</w:t>
      </w:r>
    </w:p>
    <w:p>
      <w:pPr>
        <w:pStyle w:val="Compact"/>
        <w:numPr>
          <w:ilvl w:val="0"/>
          <w:numId w:val="1010"/>
        </w:numPr>
      </w:pPr>
      <w:r>
        <w:t xml:space="preserve">L3Harris’ post-IPO ownership</w:t>
      </w:r>
    </w:p>
    <w:p>
      <w:pPr>
        <w:pStyle w:val="Compact"/>
        <w:numPr>
          <w:ilvl w:val="0"/>
          <w:numId w:val="1010"/>
        </w:numPr>
      </w:pPr>
      <w:r>
        <w:t xml:space="preserve">Valuation framework</w:t>
      </w:r>
    </w:p>
    <w:p>
      <w:pPr>
        <w:pStyle w:val="Compact"/>
        <w:numPr>
          <w:ilvl w:val="0"/>
          <w:numId w:val="1010"/>
        </w:numPr>
      </w:pPr>
      <w:r>
        <w:t xml:space="preserve">Treatment of the government’s preferred equity and warrants</w:t>
      </w:r>
    </w:p>
    <w:p>
      <w:pPr>
        <w:pStyle w:val="Compact"/>
        <w:numPr>
          <w:ilvl w:val="0"/>
          <w:numId w:val="1010"/>
        </w:numPr>
      </w:pPr>
      <w:r>
        <w:t xml:space="preserve">Whether proceeds stay in AXYV or flow to L3Harris</w:t>
      </w:r>
    </w:p>
    <w:p>
      <w:pPr>
        <w:pStyle w:val="Compact"/>
        <w:numPr>
          <w:ilvl w:val="0"/>
          <w:numId w:val="1010"/>
        </w:numPr>
      </w:pPr>
      <w:r>
        <w:t xml:space="preserve">Future minority-interest effects on EPS and cash flow</w:t>
      </w:r>
    </w:p>
    <w:p>
      <w:pPr>
        <w:pStyle w:val="FirstParagraph"/>
      </w:pPr>
      <w:r>
        <w:t xml:space="preserve">The IPO can unlock value, but only if the stand-alone valuation compensates LHX holders for dilution and added structural complexity.</w:t>
      </w:r>
    </w:p>
    <w:bookmarkEnd w:id="24"/>
    <w:bookmarkStart w:id="26" w:name="space-propulsion--power-systems-sale"/>
    <w:p>
      <w:pPr>
        <w:pStyle w:val="Heading3"/>
      </w:pPr>
      <w:r>
        <w:t xml:space="preserve">Space Propulsion &amp; Power Systems sale</w:t>
      </w:r>
    </w:p>
    <w:p>
      <w:pPr>
        <w:pStyle w:val="FirstParagraph"/>
      </w:pPr>
      <w:r>
        <w:t xml:space="preserve">L3Harris agreed to sell a 60% stake at an $845 million enterprise value while retaining approximately 40%. Closing was targeted for the second half of 2026, after which management intends to update guidance. (</w:t>
      </w:r>
      <w:hyperlink r:id="rId25">
        <w:r>
          <w:rPr>
            <w:rStyle w:val="Hyperlink"/>
          </w:rPr>
          <w:t xml:space="preserve">l3harris.com</w:t>
        </w:r>
      </w:hyperlink>
      <w:r>
        <w:t xml:space="preserve">)</w:t>
      </w:r>
    </w:p>
    <w:p>
      <w:pPr>
        <w:pStyle w:val="BodyText"/>
      </w:pPr>
      <w:r>
        <w:t xml:space="preserve">The timing and earnings dis-synergies from that transaction could affect the second-half outlook.</w:t>
      </w:r>
    </w:p>
    <w:bookmarkEnd w:id="26"/>
    <w:bookmarkEnd w:id="27"/>
    <w:bookmarkStart w:id="28" w:name="stock-setup"/>
    <w:p>
      <w:pPr>
        <w:pStyle w:val="Heading2"/>
      </w:pPr>
      <w:r>
        <w:t xml:space="preserve">Stock setup</w:t>
      </w:r>
    </w:p>
    <w:p>
      <w:pPr>
        <w:pStyle w:val="FirstParagraph"/>
      </w:pPr>
      <w:r>
        <w:t xml:space="preserve">Using the July 28 close of</w:t>
      </w:r>
      <w:r>
        <w:t xml:space="preserve"> </w:t>
      </w:r>
      <w:r>
        <w:rPr>
          <w:b/>
          <w:bCs/>
        </w:rPr>
        <w:t xml:space="preserve">$305.24</w:t>
      </w:r>
      <w:r>
        <w:t xml:space="preserve">, LHX is:</w:t>
      </w:r>
    </w:p>
    <w:p>
      <w:pPr>
        <w:pStyle w:val="Compact"/>
        <w:numPr>
          <w:ilvl w:val="0"/>
          <w:numId w:val="1011"/>
        </w:numPr>
      </w:pPr>
      <w:r>
        <w:t xml:space="preserve">Approximately flat year to date</w:t>
      </w:r>
    </w:p>
    <w:p>
      <w:pPr>
        <w:pStyle w:val="Compact"/>
        <w:numPr>
          <w:ilvl w:val="0"/>
          <w:numId w:val="1011"/>
        </w:numPr>
      </w:pPr>
      <w:r>
        <w:t xml:space="preserve">About 5% below its April 30 closing price</w:t>
      </w:r>
    </w:p>
    <w:p>
      <w:pPr>
        <w:pStyle w:val="Compact"/>
        <w:numPr>
          <w:ilvl w:val="0"/>
          <w:numId w:val="1011"/>
        </w:numPr>
      </w:pPr>
      <w:r>
        <w:t xml:space="preserve">Roughly 19% below its March high</w:t>
      </w:r>
    </w:p>
    <w:p>
      <w:pPr>
        <w:pStyle w:val="Compact"/>
        <w:numPr>
          <w:ilvl w:val="0"/>
          <w:numId w:val="1011"/>
        </w:numPr>
      </w:pPr>
      <w:r>
        <w:t xml:space="preserve">Trading near</w:t>
      </w:r>
      <w:r>
        <w:t xml:space="preserve"> </w:t>
      </w:r>
      <w:r>
        <w:rPr>
          <w:b/>
          <w:bCs/>
        </w:rPr>
        <w:t xml:space="preserve">26.5x</w:t>
      </w:r>
      <w:r>
        <w:t xml:space="preserve"> </w:t>
      </w:r>
      <w:r>
        <w:t xml:space="preserve">the current 2026 EPS consensus</w:t>
      </w:r>
    </w:p>
    <w:p>
      <w:pPr>
        <w:pStyle w:val="FirstParagraph"/>
      </w:pPr>
      <w:r>
        <w:t xml:space="preserve">That is not a low absolute multiple, but the stock has already retraced much of its earlier defense-sector rally. The reaction is therefore likely to depend more on guidance, cash conversion and backlog quality than on a small headline EPS beat.</w:t>
      </w:r>
    </w:p>
    <w:bookmarkEnd w:id="28"/>
    <w:bookmarkStart w:id="32" w:name="what-would-constitute-a-strong-report"/>
    <w:p>
      <w:pPr>
        <w:pStyle w:val="Heading2"/>
      </w:pPr>
      <w:r>
        <w:t xml:space="preserve">What would constitute a strong report?</w:t>
      </w:r>
    </w:p>
    <w:bookmarkStart w:id="29" w:name="bullish"/>
    <w:p>
      <w:pPr>
        <w:pStyle w:val="Heading3"/>
      </w:pPr>
      <w:r>
        <w:t xml:space="preserve">Bullish</w:t>
      </w:r>
    </w:p>
    <w:p>
      <w:pPr>
        <w:pStyle w:val="Compact"/>
        <w:numPr>
          <w:ilvl w:val="0"/>
          <w:numId w:val="1012"/>
        </w:numPr>
      </w:pPr>
      <w:r>
        <w:t xml:space="preserve">Revenue above roughly $5.9 billion</w:t>
      </w:r>
    </w:p>
    <w:p>
      <w:pPr>
        <w:pStyle w:val="Compact"/>
        <w:numPr>
          <w:ilvl w:val="0"/>
          <w:numId w:val="1012"/>
        </w:numPr>
      </w:pPr>
      <w:r>
        <w:t xml:space="preserve">Segment margin at or above 16%</w:t>
      </w:r>
    </w:p>
    <w:p>
      <w:pPr>
        <w:pStyle w:val="Compact"/>
        <w:numPr>
          <w:ilvl w:val="0"/>
          <w:numId w:val="1012"/>
        </w:numPr>
      </w:pPr>
      <w:r>
        <w:t xml:space="preserve">Book-to-bill above 1.0x</w:t>
      </w:r>
    </w:p>
    <w:p>
      <w:pPr>
        <w:pStyle w:val="Compact"/>
        <w:numPr>
          <w:ilvl w:val="0"/>
          <w:numId w:val="1012"/>
        </w:numPr>
      </w:pPr>
      <w:r>
        <w:t xml:space="preserve">Clear path for PAC-3 and THAAD frameworks to enter backlog</w:t>
      </w:r>
    </w:p>
    <w:p>
      <w:pPr>
        <w:pStyle w:val="Compact"/>
        <w:numPr>
          <w:ilvl w:val="0"/>
          <w:numId w:val="1012"/>
        </w:numPr>
      </w:pPr>
      <w:r>
        <w:t xml:space="preserve">Revenue guidance raised</w:t>
      </w:r>
    </w:p>
    <w:p>
      <w:pPr>
        <w:pStyle w:val="Compact"/>
        <w:numPr>
          <w:ilvl w:val="0"/>
          <w:numId w:val="1012"/>
        </w:numPr>
      </w:pPr>
      <w:r>
        <w:t xml:space="preserve">$3 billion free-cash-flow target reaffirmed with improved Q2 cash generation</w:t>
      </w:r>
    </w:p>
    <w:p>
      <w:pPr>
        <w:pStyle w:val="Compact"/>
        <w:numPr>
          <w:ilvl w:val="0"/>
          <w:numId w:val="1012"/>
        </w:numPr>
      </w:pPr>
      <w:r>
        <w:t xml:space="preserve">AXYV IPO and space-business sale remain on schedule</w:t>
      </w:r>
    </w:p>
    <w:p>
      <w:pPr>
        <w:pStyle w:val="Compact"/>
        <w:numPr>
          <w:ilvl w:val="0"/>
          <w:numId w:val="1012"/>
        </w:numPr>
      </w:pPr>
      <w:r>
        <w:t xml:space="preserve">Clean program execution with limited unfavorable adjustments</w:t>
      </w:r>
    </w:p>
    <w:bookmarkEnd w:id="29"/>
    <w:bookmarkStart w:id="30" w:name="neutral"/>
    <w:p>
      <w:pPr>
        <w:pStyle w:val="Heading3"/>
      </w:pPr>
      <w:r>
        <w:t xml:space="preserve">Neutral</w:t>
      </w:r>
    </w:p>
    <w:p>
      <w:pPr>
        <w:pStyle w:val="Compact"/>
        <w:numPr>
          <w:ilvl w:val="0"/>
          <w:numId w:val="1013"/>
        </w:numPr>
      </w:pPr>
      <w:r>
        <w:t xml:space="preserve">Modest revenue and EPS beat</w:t>
      </w:r>
    </w:p>
    <w:p>
      <w:pPr>
        <w:pStyle w:val="Compact"/>
        <w:numPr>
          <w:ilvl w:val="0"/>
          <w:numId w:val="1013"/>
        </w:numPr>
      </w:pPr>
      <w:r>
        <w:t xml:space="preserve">Full-year guidance largely unchanged</w:t>
      </w:r>
    </w:p>
    <w:p>
      <w:pPr>
        <w:pStyle w:val="Compact"/>
        <w:numPr>
          <w:ilvl w:val="0"/>
          <w:numId w:val="1013"/>
        </w:numPr>
      </w:pPr>
      <w:r>
        <w:t xml:space="preserve">Continued strong demand but limited near-term backlog recognition</w:t>
      </w:r>
    </w:p>
    <w:p>
      <w:pPr>
        <w:pStyle w:val="Compact"/>
        <w:numPr>
          <w:ilvl w:val="0"/>
          <w:numId w:val="1013"/>
        </w:numPr>
      </w:pPr>
      <w:r>
        <w:t xml:space="preserve">Cash flow still heavily dependent on Q4</w:t>
      </w:r>
    </w:p>
    <w:p>
      <w:pPr>
        <w:pStyle w:val="Compact"/>
        <w:numPr>
          <w:ilvl w:val="0"/>
          <w:numId w:val="1013"/>
        </w:numPr>
      </w:pPr>
      <w:r>
        <w:t xml:space="preserve">Transaction timelines reiterated without additional detail</w:t>
      </w:r>
    </w:p>
    <w:bookmarkEnd w:id="30"/>
    <w:bookmarkStart w:id="31" w:name="bearish"/>
    <w:p>
      <w:pPr>
        <w:pStyle w:val="Heading3"/>
      </w:pPr>
      <w:r>
        <w:t xml:space="preserve">Bearish</w:t>
      </w:r>
    </w:p>
    <w:p>
      <w:pPr>
        <w:pStyle w:val="Compact"/>
        <w:numPr>
          <w:ilvl w:val="0"/>
          <w:numId w:val="1014"/>
        </w:numPr>
      </w:pPr>
      <w:r>
        <w:t xml:space="preserve">Sharp normalization in Space &amp; Mission Systems</w:t>
      </w:r>
    </w:p>
    <w:p>
      <w:pPr>
        <w:pStyle w:val="Compact"/>
        <w:numPr>
          <w:ilvl w:val="0"/>
          <w:numId w:val="1014"/>
        </w:numPr>
      </w:pPr>
      <w:r>
        <w:t xml:space="preserve">Continued low-single-digit CSD growth</w:t>
      </w:r>
    </w:p>
    <w:p>
      <w:pPr>
        <w:pStyle w:val="Compact"/>
        <w:numPr>
          <w:ilvl w:val="0"/>
          <w:numId w:val="1014"/>
        </w:numPr>
      </w:pPr>
      <w:r>
        <w:t xml:space="preserve">Missile program charges or supplier constraints</w:t>
      </w:r>
    </w:p>
    <w:p>
      <w:pPr>
        <w:pStyle w:val="Compact"/>
        <w:numPr>
          <w:ilvl w:val="0"/>
          <w:numId w:val="1014"/>
        </w:numPr>
      </w:pPr>
      <w:r>
        <w:t xml:space="preserve">No revenue raise despite the strong Q1 start</w:t>
      </w:r>
    </w:p>
    <w:p>
      <w:pPr>
        <w:pStyle w:val="Compact"/>
        <w:numPr>
          <w:ilvl w:val="0"/>
          <w:numId w:val="1014"/>
        </w:numPr>
      </w:pPr>
      <w:r>
        <w:t xml:space="preserve">Weak working-capital performance</w:t>
      </w:r>
    </w:p>
    <w:p>
      <w:pPr>
        <w:pStyle w:val="Compact"/>
        <w:numPr>
          <w:ilvl w:val="0"/>
          <w:numId w:val="1014"/>
        </w:numPr>
      </w:pPr>
      <w:r>
        <w:t xml:space="preserve">AXYV IPO or space-business sale delayed</w:t>
      </w:r>
    </w:p>
    <w:p>
      <w:pPr>
        <w:pStyle w:val="Compact"/>
        <w:numPr>
          <w:ilvl w:val="0"/>
          <w:numId w:val="1014"/>
        </w:numPr>
      </w:pPr>
      <w:r>
        <w:t xml:space="preserve">Framework agreements remain economically or contractually vague</w:t>
      </w:r>
    </w:p>
    <w:bookmarkEnd w:id="31"/>
    <w:bookmarkEnd w:id="32"/>
    <w:bookmarkStart w:id="33" w:name="bottom-line"/>
    <w:p>
      <w:pPr>
        <w:pStyle w:val="Heading2"/>
      </w:pPr>
      <w:r>
        <w:t xml:space="preserve">Bottom line</w:t>
      </w:r>
    </w:p>
    <w:p>
      <w:pPr>
        <w:pStyle w:val="FirstParagraph"/>
      </w:pPr>
      <w:r>
        <w:rPr>
          <w:b/>
          <w:bCs/>
        </w:rPr>
        <w:t xml:space="preserve">The quarter itself is unlikely to settle the LHX debate.</w:t>
      </w:r>
      <w:r>
        <w:t xml:space="preserve"> </w:t>
      </w:r>
      <w:r>
        <w:t xml:space="preserve">Demand and strategic positioning are already evident. The report needs to demonstrate that L3Harris can convert that demand into funded backlog, clean operating income and cash while simultaneously financing a major capacity expansion and restructuring its portfolio.</w:t>
      </w:r>
    </w:p>
    <w:p>
      <w:pPr>
        <w:pStyle w:val="BodyText"/>
      </w:pPr>
      <w:r>
        <w:t xml:space="preserve">The most consequential disclosures will be:</w:t>
      </w:r>
    </w:p>
    <w:p>
      <w:pPr>
        <w:pStyle w:val="Compact"/>
        <w:numPr>
          <w:ilvl w:val="0"/>
          <w:numId w:val="1015"/>
        </w:numPr>
      </w:pPr>
      <w:r>
        <w:rPr>
          <w:b/>
          <w:bCs/>
        </w:rPr>
        <w:t xml:space="preserve">How and when the PAC-3 and THAAD frameworks become orders and backlog</w:t>
      </w:r>
    </w:p>
    <w:p>
      <w:pPr>
        <w:pStyle w:val="Compact"/>
        <w:numPr>
          <w:ilvl w:val="0"/>
          <w:numId w:val="1015"/>
        </w:numPr>
      </w:pPr>
      <w:r>
        <w:rPr>
          <w:b/>
          <w:bCs/>
        </w:rPr>
        <w:t xml:space="preserve">Whether management raises revenue guidance</w:t>
      </w:r>
    </w:p>
    <w:p>
      <w:pPr>
        <w:pStyle w:val="Compact"/>
        <w:numPr>
          <w:ilvl w:val="0"/>
          <w:numId w:val="1015"/>
        </w:numPr>
      </w:pPr>
      <w:r>
        <w:rPr>
          <w:b/>
          <w:bCs/>
        </w:rPr>
        <w:t xml:space="preserve">Whether Q2 cash flow supports the $3 billion annual target</w:t>
      </w:r>
    </w:p>
    <w:p>
      <w:pPr>
        <w:pStyle w:val="Compact"/>
        <w:numPr>
          <w:ilvl w:val="0"/>
          <w:numId w:val="1015"/>
        </w:numPr>
      </w:pPr>
      <w:r>
        <w:rPr>
          <w:b/>
          <w:bCs/>
        </w:rPr>
        <w:t xml:space="preserve">The timeline and economics of the AXYV IPO</w:t>
      </w:r>
    </w:p>
    <w:p>
      <w:pPr>
        <w:pStyle w:val="Compact"/>
        <w:numPr>
          <w:ilvl w:val="0"/>
          <w:numId w:val="1015"/>
        </w:numPr>
      </w:pPr>
      <w:r>
        <w:rPr>
          <w:b/>
          <w:bCs/>
        </w:rPr>
        <w:t xml:space="preserve">Whether segment growth remains profitable after stripping out milestones, settlements and asset monetization</w:t>
      </w:r>
    </w:p>
    <w:p>
      <w:pPr>
        <w:pStyle w:val="FirstParagraph"/>
      </w:pPr>
      <w:r>
        <w:t xml:space="preserve">A modest EPS beat with strong answers on those five issues would likely be more valuable than a large headline beat driven by tax, pension or one-time items.</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l3harris.com/events-and-presentations/event-details/default.aspx?utm_source=openai" TargetMode="External" /><Relationship Type="http://schemas.openxmlformats.org/officeDocument/2006/relationships/hyperlink" Id="rId10" Target="https://investors.l3harris.com/financials/quarterly-results/default.aspx?rid=15251&amp;utm_source=openai" TargetMode="External" /><Relationship Type="http://schemas.openxmlformats.org/officeDocument/2006/relationships/hyperlink" Id="rId18" Target="https://www.l3harris.com/newsroom/editorial/2026/06/l3harris-and-skydagger-sign-agreement-collaborate-drone-interceptor-0?utm_source=openai" TargetMode="External" /><Relationship Type="http://schemas.openxmlformats.org/officeDocument/2006/relationships/hyperlink" Id="rId25" Target="https://www.l3harris.com/newsroom/press-release/2026/01/l3harris-sell-majority-stake-space-propulsion-power-business-ae?utm_source=openai" TargetMode="External" /><Relationship Type="http://schemas.openxmlformats.org/officeDocument/2006/relationships/hyperlink" Id="rId14" Target="https://www.l3harris.com/newsroom/press-release/2026/07/l3harris-transformational-agreement-increase-PAC3-MSE?utm_source=openai" TargetMode="External" /><Relationship Type="http://schemas.openxmlformats.org/officeDocument/2006/relationships/hyperlink" Id="rId16" Target="https://www.l3harris.com/newsroom/press-release/2026/07/us-space-force-selects-l3harris-provide-advanced-tracking-satellites?utm_source=openai" TargetMode="External" /><Relationship Type="http://schemas.openxmlformats.org/officeDocument/2006/relationships/hyperlink" Id="rId12" Target="https://www.marketbeat.com/earnings/reports/2026-7-29-l3harris-technologies-in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l3harris.com/events-and-presentations/event-details/default.aspx?utm_source=openai" TargetMode="External" /><Relationship Type="http://schemas.openxmlformats.org/officeDocument/2006/relationships/hyperlink" Id="rId10" Target="https://investors.l3harris.com/financials/quarterly-results/default.aspx?rid=15251&amp;utm_source=openai" TargetMode="External" /><Relationship Type="http://schemas.openxmlformats.org/officeDocument/2006/relationships/hyperlink" Id="rId18" Target="https://www.l3harris.com/newsroom/editorial/2026/06/l3harris-and-skydagger-sign-agreement-collaborate-drone-interceptor-0?utm_source=openai" TargetMode="External" /><Relationship Type="http://schemas.openxmlformats.org/officeDocument/2006/relationships/hyperlink" Id="rId25" Target="https://www.l3harris.com/newsroom/press-release/2026/01/l3harris-sell-majority-stake-space-propulsion-power-business-ae?utm_source=openai" TargetMode="External" /><Relationship Type="http://schemas.openxmlformats.org/officeDocument/2006/relationships/hyperlink" Id="rId14" Target="https://www.l3harris.com/newsroom/press-release/2026/07/l3harris-transformational-agreement-increase-PAC3-MSE?utm_source=openai" TargetMode="External" /><Relationship Type="http://schemas.openxmlformats.org/officeDocument/2006/relationships/hyperlink" Id="rId16" Target="https://www.l3harris.com/newsroom/press-release/2026/07/us-space-force-selects-l3harris-provide-advanced-tracking-satellites?utm_source=openai" TargetMode="External" /><Relationship Type="http://schemas.openxmlformats.org/officeDocument/2006/relationships/hyperlink" Id="rId12" Target="https://www.marketbeat.com/earnings/reports/2026-7-29-l3harris-technologies-in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2026-07-29T01:36:55Z</dcterms:created>
  <dcterms:modified xsi:type="dcterms:W3CDTF">2026-07-29T01:36:55Z</dcterms:modified>
</cp:coreProperties>
</file>

<file path=docProps/custom.xml><?xml version="1.0" encoding="utf-8"?>
<Properties xmlns="http://schemas.openxmlformats.org/officeDocument/2006/custom-properties" xmlns:vt="http://schemas.openxmlformats.org/officeDocument/2006/docPropsVTypes"/>
</file>