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l3harris-nyse-lhx--2q26-earnings-preview"/>
    <w:p>
      <w:pPr>
        <w:pStyle w:val="Heading1"/>
      </w:pPr>
      <w:r>
        <w:t xml:space="preserve">L3Harris (NYSE: LHX) — 2Q26 Earnings Preview</w:t>
      </w:r>
    </w:p>
    <w:p>
      <w:pPr>
        <w:pStyle w:val="BlockText"/>
      </w:pPr>
      <w:r>
        <w:rPr>
          <w:b/>
          <w:bCs/>
        </w:rPr>
        <w:t xml:space="preserve">Timing correction:</w:t>
      </w:r>
      <w:r>
        <w:t xml:space="preserve"> </w:t>
      </w:r>
      <w:r>
        <w:t xml:space="preserve">L3Harris is scheduled to report</w:t>
      </w:r>
      <w:r>
        <w:t xml:space="preserve"> </w:t>
      </w:r>
      <w:r>
        <w:rPr>
          <w:b/>
          <w:bCs/>
        </w:rPr>
        <w:t xml:space="preserve">after the market close on Wednesday, July 29, 2026</w:t>
      </w:r>
      <w:r>
        <w:t xml:space="preserve">, with its earnings call at</w:t>
      </w:r>
      <w:r>
        <w:t xml:space="preserve"> </w:t>
      </w:r>
      <w:r>
        <w:rPr>
          <w:b/>
          <w:bCs/>
        </w:rPr>
        <w:t xml:space="preserve">5:00 p.m. ET</w:t>
      </w:r>
      <w:r>
        <w:t xml:space="preserve">—so the event is</w:t>
      </w:r>
      <w:r>
        <w:t xml:space="preserve"> </w:t>
      </w:r>
      <w:r>
        <w:rPr>
          <w:b/>
          <w:bCs/>
        </w:rPr>
        <w:t xml:space="preserve">today, not tomorrow</w:t>
      </w:r>
      <w:r>
        <w:t xml:space="preserve">.</w:t>
      </w:r>
    </w:p>
    <w:bookmarkStart w:id="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This quarter is principally an</w:t>
      </w:r>
      <w:r>
        <w:t xml:space="preserve"> </w:t>
      </w:r>
      <w:r>
        <w:rPr>
          <w:b/>
          <w:bCs/>
        </w:rPr>
        <w:t xml:space="preserve">execution and guidance-credibility</w:t>
      </w:r>
      <w:r>
        <w:t xml:space="preserve"> </w:t>
      </w:r>
      <w:r>
        <w:t xml:space="preserve">test rather than a demand test. L3Harris entered 2026 with record backlog, broad exposure to the fastest-growing defense priorities, and an ambitious long-term plan. The questions for investors are whether the company can translate that demand into: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Sustained organic revenue growth</w:t>
      </w:r>
      <w:r>
        <w:t xml:space="preserve"> </w:t>
      </w:r>
      <w:r>
        <w:t xml:space="preserve">beyond a very strong 1Q;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Underlying margin expansion</w:t>
      </w:r>
      <w:r>
        <w:t xml:space="preserve"> </w:t>
      </w:r>
      <w:r>
        <w:t xml:space="preserve">without leaning on favorable one-time items;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Meaningful second-quarter free-cash-flow recovery</w:t>
      </w:r>
      <w:r>
        <w:t xml:space="preserve">; and</w:t>
      </w:r>
    </w:p>
    <w:p>
      <w:pPr>
        <w:pStyle w:val="Compact"/>
        <w:numPr>
          <w:ilvl w:val="0"/>
          <w:numId w:val="1001"/>
        </w:numPr>
      </w:pPr>
      <w:r>
        <w:t xml:space="preserve">Greater clarity on the</w:t>
      </w:r>
      <w:r>
        <w:t xml:space="preserve"> </w:t>
      </w:r>
      <w:r>
        <w:rPr>
          <w:b/>
          <w:bCs/>
        </w:rPr>
        <w:t xml:space="preserve">Missile Solutions/AXYV IPO</w:t>
      </w:r>
      <w:r>
        <w:t xml:space="preserve">, the Department of War capacity-investment framework, and the pending Space Propulsion transaction.</w:t>
      </w:r>
    </w:p>
    <w:p>
      <w:pPr>
        <w:pStyle w:val="FirstParagraph"/>
      </w:pPr>
      <w:r>
        <w:t xml:space="preserve">LHX closed at</w:t>
      </w:r>
      <w:r>
        <w:t xml:space="preserve"> </w:t>
      </w:r>
      <w:r>
        <w:rPr>
          <w:b/>
          <w:bCs/>
        </w:rPr>
        <w:t xml:space="preserve">$305.24 on July 28</w:t>
      </w:r>
      <w:r>
        <w:t xml:space="preserve">, roughly flat versus its January 2 close but about 19% below its March 2 high of $378.48. That suggests the market remains constructive on the long-term defense and missile themes, but wants tangible evidence that near-term results, cash conversion, and portfolio actions can support the narrative.</w:t>
      </w:r>
    </w:p>
    <w:bookmarkEnd w:id="9"/>
    <w:bookmarkStart w:id="14" w:name="what-management-needs-to-deliver"/>
    <w:p>
      <w:pPr>
        <w:pStyle w:val="Heading2"/>
      </w:pPr>
      <w:r>
        <w:t xml:space="preserve">What management needs to deliver</w:t>
      </w:r>
    </w:p>
    <w:bookmarkStart w:id="10" w:name="X8b8126a608b856fc58d9f882ea55901a4d0697a"/>
    <w:p>
      <w:pPr>
        <w:pStyle w:val="Heading3"/>
      </w:pPr>
      <w:r>
        <w:t xml:space="preserve">1. Reaffirmation is the floor; a revenue-guidance increase would be the upside catalyst</w:t>
      </w:r>
    </w:p>
    <w:p>
      <w:pPr>
        <w:pStyle w:val="FirstParagraph"/>
      </w:pPr>
      <w:r>
        <w:t xml:space="preserve">Following 1Q, L3Harris guided to: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FY2026 target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Guidance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23.0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23.5B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growth at midpoint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Segment 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Low 16%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GAAP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11.40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11.60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$3.0B</w:t>
            </w:r>
          </w:p>
        </w:tc>
      </w:tr>
    </w:tbl>
    <w:p>
      <w:pPr>
        <w:pStyle w:val="BodyText"/>
      </w:pPr>
      <w:r>
        <w:t xml:space="preserve">The company began the year well ahead of that top-line pace: 1Q revenue rose</w:t>
      </w:r>
      <w:r>
        <w:t xml:space="preserve"> </w:t>
      </w:r>
      <w:r>
        <w:rPr>
          <w:b/>
          <w:bCs/>
        </w:rPr>
        <w:t xml:space="preserve">12% reported and 15% organically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$5.74B</w:t>
      </w:r>
      <w:r>
        <w:t xml:space="preserve">. Management attributed some of the strength to an additional number of productive working days—estimated at roughly $200M of revenue—but also emphasized broad-based program and international momentum.</w:t>
      </w:r>
    </w:p>
    <w:p>
      <w:pPr>
        <w:pStyle w:val="BodyText"/>
      </w:pPr>
      <w:r>
        <w:t xml:space="preserve">The central earnings question is therefore straightforward:</w:t>
      </w:r>
      <w:r>
        <w:t xml:space="preserve"> </w:t>
      </w:r>
      <w:r>
        <w:rPr>
          <w:b/>
          <w:bCs/>
        </w:rPr>
        <w:t xml:space="preserve">does management formally lift full-year revenue guidance, or continue to bank early strength as protection against second-half execution risk?</w:t>
      </w:r>
    </w:p>
    <w:p>
      <w:pPr>
        <w:pStyle w:val="BodyText"/>
      </w:pPr>
      <w:r>
        <w:t xml:space="preserve">A raise would be especially constructive because management indicated in April that July was the logical point to revisit the top-line outlook. A reaffirmation would not necessarily be negative—particularly given the usual defense-program timing and the company’s large growth investment—but it would likely keep the focus on whether 1Q was unusually favorable.</w:t>
      </w:r>
    </w:p>
    <w:bookmarkEnd w:id="10"/>
    <w:bookmarkStart w:id="11" w:name="X904a80d978c97fefffb7cc9477674d6e9285ffd"/>
    <w:p>
      <w:pPr>
        <w:pStyle w:val="Heading3"/>
      </w:pPr>
      <w:r>
        <w:t xml:space="preserve">2. Space &amp; Mission Systems must demonstrate that 1Q strength was not just milestone timing</w:t>
      </w:r>
    </w:p>
    <w:p>
      <w:pPr>
        <w:pStyle w:val="FirstParagraph"/>
      </w:pPr>
      <w:r>
        <w:t xml:space="preserve">Space &amp; Mission Systems (SMS) was the standout in 1Q:</w:t>
      </w:r>
    </w:p>
    <w:p>
      <w:pPr>
        <w:pStyle w:val="Compact"/>
        <w:numPr>
          <w:ilvl w:val="0"/>
          <w:numId w:val="1002"/>
        </w:numPr>
      </w:pPr>
      <w:r>
        <w:t xml:space="preserve">Revenue rose</w:t>
      </w:r>
      <w:r>
        <w:t xml:space="preserve"> </w:t>
      </w:r>
      <w:r>
        <w:rPr>
          <w:b/>
          <w:bCs/>
        </w:rPr>
        <w:t xml:space="preserve">24%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$2.99B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Segment margin expanded</w:t>
      </w:r>
      <w:r>
        <w:t xml:space="preserve"> </w:t>
      </w:r>
      <w:r>
        <w:rPr>
          <w:b/>
          <w:bCs/>
        </w:rPr>
        <w:t xml:space="preserve">60 bps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10.5%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Growth included classified and international missionized-aircraft activity, Space programs, mission networks, and maritime work.</w:t>
      </w:r>
    </w:p>
    <w:p>
      <w:pPr>
        <w:pStyle w:val="FirstParagraph"/>
      </w:pPr>
      <w:r>
        <w:t xml:space="preserve">However, the quarter also benefited from a material-procurement milestone on a classified program, which carried lower average margins. Investors should look for continued evidence of growth in:</w:t>
      </w:r>
    </w:p>
    <w:p>
      <w:pPr>
        <w:pStyle w:val="Compact"/>
        <w:numPr>
          <w:ilvl w:val="0"/>
          <w:numId w:val="1003"/>
        </w:numPr>
      </w:pPr>
      <w:r>
        <w:t xml:space="preserve">Classified ISR and aircraft missionization;</w:t>
      </w:r>
    </w:p>
    <w:p>
      <w:pPr>
        <w:pStyle w:val="Compact"/>
        <w:numPr>
          <w:ilvl w:val="0"/>
          <w:numId w:val="1003"/>
        </w:numPr>
      </w:pPr>
      <w:r>
        <w:t xml:space="preserve">Missile warning, missile tracking, and broader “Golden Dome” opportunities;</w:t>
      </w:r>
    </w:p>
    <w:p>
      <w:pPr>
        <w:pStyle w:val="Compact"/>
        <w:numPr>
          <w:ilvl w:val="0"/>
          <w:numId w:val="1003"/>
        </w:numPr>
      </w:pPr>
      <w:r>
        <w:t xml:space="preserve">International airborne early-warning and ISR awards;</w:t>
      </w:r>
    </w:p>
    <w:p>
      <w:pPr>
        <w:pStyle w:val="Compact"/>
        <w:numPr>
          <w:ilvl w:val="0"/>
          <w:numId w:val="1003"/>
        </w:numPr>
      </w:pPr>
      <w:r>
        <w:t xml:space="preserve">Space production ramps and satellite-delivery execution.</w:t>
      </w:r>
    </w:p>
    <w:p>
      <w:pPr>
        <w:pStyle w:val="FirstParagraph"/>
      </w:pPr>
      <w:r>
        <w:t xml:space="preserve">The major upside item would be a material order or substantive update around</w:t>
      </w:r>
      <w:r>
        <w:t xml:space="preserve"> </w:t>
      </w:r>
      <w:r>
        <w:rPr>
          <w:b/>
          <w:bCs/>
        </w:rPr>
        <w:t xml:space="preserve">HBTSS follow-on</w:t>
      </w:r>
      <w:r>
        <w:t xml:space="preserve">, other missile-warning programs, or classified work. Management previously described a sole-source classified award worth</w:t>
      </w:r>
      <w:r>
        <w:t xml:space="preserve"> </w:t>
      </w:r>
      <w:r>
        <w:rPr>
          <w:b/>
          <w:bCs/>
        </w:rPr>
        <w:t xml:space="preserve">$600M initially</w:t>
      </w:r>
      <w:r>
        <w:t xml:space="preserve">, with potential follow-on value in the billions.</w:t>
      </w:r>
    </w:p>
    <w:bookmarkEnd w:id="11"/>
    <w:bookmarkStart w:id="12" w:name="X56983d87232b9c33b5ba2bcced242486ef36709"/>
    <w:p>
      <w:pPr>
        <w:pStyle w:val="Heading3"/>
      </w:pPr>
      <w:r>
        <w:t xml:space="preserve">3. Communications &amp; Spectrum Dominance needs to reaccelerate without relying on a legal benefit</w:t>
      </w:r>
    </w:p>
    <w:p>
      <w:pPr>
        <w:pStyle w:val="FirstParagraph"/>
      </w:pPr>
      <w:r>
        <w:t xml:space="preserve">Communications &amp; Spectrum Dominance (CSD) delivered only</w:t>
      </w:r>
      <w:r>
        <w:t xml:space="preserve"> </w:t>
      </w:r>
      <w:r>
        <w:rPr>
          <w:b/>
          <w:bCs/>
        </w:rPr>
        <w:t xml:space="preserve">3% revenue growth</w:t>
      </w:r>
      <w:r>
        <w:t xml:space="preserve"> </w:t>
      </w:r>
      <w:r>
        <w:t xml:space="preserve">in 1Q, although its</w:t>
      </w:r>
      <w:r>
        <w:t xml:space="preserve"> </w:t>
      </w:r>
      <w:r>
        <w:rPr>
          <w:b/>
          <w:bCs/>
        </w:rPr>
        <w:t xml:space="preserve">25.1%</w:t>
      </w:r>
      <w:r>
        <w:t xml:space="preserve"> </w:t>
      </w:r>
      <w:r>
        <w:t xml:space="preserve">segment margin remained exceptional. Growth drivers included night vision, international resilient communications, and the Next Generation Jammer ramp.</w:t>
      </w:r>
    </w:p>
    <w:p>
      <w:pPr>
        <w:pStyle w:val="BodyText"/>
      </w:pPr>
      <w:r>
        <w:t xml:space="preserve">The nuance is earnings quality: 1Q margin benefited from a favorable legal settlement, while the company is also increasing spending on prototypes, customer demonstrations, and R&amp;D.</w:t>
      </w:r>
    </w:p>
    <w:p>
      <w:pPr>
        <w:pStyle w:val="BodyText"/>
      </w:pPr>
      <w:r>
        <w:t xml:space="preserve">For 2Q, investors should watch for:</w:t>
      </w:r>
    </w:p>
    <w:p>
      <w:pPr>
        <w:pStyle w:val="Compact"/>
        <w:numPr>
          <w:ilvl w:val="0"/>
          <w:numId w:val="1004"/>
        </w:numPr>
      </w:pPr>
      <w:r>
        <w:t xml:space="preserve">An acceleration in radio growth, particularly as management had guided to a stronger progression through the year;</w:t>
      </w:r>
    </w:p>
    <w:p>
      <w:pPr>
        <w:pStyle w:val="Compact"/>
        <w:numPr>
          <w:ilvl w:val="0"/>
          <w:numId w:val="1004"/>
        </w:numPr>
      </w:pPr>
      <w:r>
        <w:t xml:space="preserve">New international radio awards, especially in Europe;</w:t>
      </w:r>
    </w:p>
    <w:p>
      <w:pPr>
        <w:pStyle w:val="Compact"/>
        <w:numPr>
          <w:ilvl w:val="0"/>
          <w:numId w:val="1004"/>
        </w:numPr>
      </w:pPr>
      <w:r>
        <w:t xml:space="preserve">Continued funding and positioning in U.S. Army tactical-radio modernization and NGC2;</w:t>
      </w:r>
    </w:p>
    <w:p>
      <w:pPr>
        <w:pStyle w:val="Compact"/>
        <w:numPr>
          <w:ilvl w:val="0"/>
          <w:numId w:val="1004"/>
        </w:numPr>
      </w:pPr>
      <w:r>
        <w:t xml:space="preserve">Margin durability after normalizing for the prior-quarter legal settlement;</w:t>
      </w:r>
    </w:p>
    <w:p>
      <w:pPr>
        <w:pStyle w:val="Compact"/>
        <w:numPr>
          <w:ilvl w:val="0"/>
          <w:numId w:val="1004"/>
        </w:numPr>
      </w:pPr>
      <w:r>
        <w:t xml:space="preserve">Counter-UAS/VAMPIRE order momentum.</w:t>
      </w:r>
    </w:p>
    <w:p>
      <w:pPr>
        <w:pStyle w:val="FirstParagraph"/>
      </w:pPr>
      <w:r>
        <w:t xml:space="preserve">CSD is both LHX’s highest-margin segment and the portion of the portfolio most analogous to a commercial defense-products business. A return to healthier growth while holding roughly 25% margins would reinforce the company’s claim that its portfolio deserves better-than-traditional-prime valuation treatment.</w:t>
      </w:r>
    </w:p>
    <w:bookmarkEnd w:id="12"/>
    <w:bookmarkStart w:id="13" w:name="Xaba39950afad42835976f08459438a22b77289d"/>
    <w:p>
      <w:pPr>
        <w:pStyle w:val="Heading3"/>
      </w:pPr>
      <w:r>
        <w:t xml:space="preserve">4. Missile Solutions is the strategic story—but investors need a cleaner bridge from promise to bookings and cash</w:t>
      </w:r>
    </w:p>
    <w:p>
      <w:pPr>
        <w:pStyle w:val="FirstParagraph"/>
      </w:pPr>
      <w:r>
        <w:t xml:space="preserve">Missile Solutions grew revenue</w:t>
      </w:r>
      <w:r>
        <w:t xml:space="preserve"> </w:t>
      </w:r>
      <w:r>
        <w:rPr>
          <w:b/>
          <w:bCs/>
        </w:rPr>
        <w:t xml:space="preserve">18%</w:t>
      </w:r>
      <w:r>
        <w:t xml:space="preserve"> </w:t>
      </w:r>
      <w:r>
        <w:t xml:space="preserve">in 1Q to</w:t>
      </w:r>
      <w:r>
        <w:t xml:space="preserve"> </w:t>
      </w:r>
      <w:r>
        <w:rPr>
          <w:b/>
          <w:bCs/>
        </w:rPr>
        <w:t xml:space="preserve">$990M</w:t>
      </w:r>
      <w:r>
        <w:t xml:space="preserve">, with margin up</w:t>
      </w:r>
      <w:r>
        <w:t xml:space="preserve"> </w:t>
      </w:r>
      <w:r>
        <w:rPr>
          <w:b/>
          <w:bCs/>
        </w:rPr>
        <w:t xml:space="preserve">110 bps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12.5%</w:t>
      </w:r>
      <w:r>
        <w:t xml:space="preserve">. The business is positioned around solid rocket motors, propulsion, seekers, fuzing, weapons release, and other advanced effects.</w:t>
      </w:r>
    </w:p>
    <w:p>
      <w:pPr>
        <w:pStyle w:val="BodyText"/>
      </w:pPr>
      <w:r>
        <w:t xml:space="preserve">The segment’s medium-term opportunity is substantial:</w:t>
      </w:r>
    </w:p>
    <w:p>
      <w:pPr>
        <w:pStyle w:val="Compact"/>
        <w:numPr>
          <w:ilvl w:val="0"/>
          <w:numId w:val="1005"/>
        </w:numPr>
      </w:pPr>
      <w:r>
        <w:t xml:space="preserve">L3Harris has cited participation in a large share of the Munitions Acceleration Council programs.</w:t>
      </w:r>
    </w:p>
    <w:p>
      <w:pPr>
        <w:pStyle w:val="Compact"/>
        <w:numPr>
          <w:ilvl w:val="0"/>
          <w:numId w:val="1005"/>
        </w:numPr>
      </w:pPr>
      <w:r>
        <w:t xml:space="preserve">Management discussed roughly</w:t>
      </w:r>
      <w:r>
        <w:t xml:space="preserve"> </w:t>
      </w:r>
      <w:r>
        <w:rPr>
          <w:b/>
          <w:bCs/>
        </w:rPr>
        <w:t xml:space="preserve">$25B of potential orders</w:t>
      </w:r>
      <w:r>
        <w:t xml:space="preserve"> </w:t>
      </w:r>
      <w:r>
        <w:t xml:space="preserve">still under negotiation at the end of 1Q.</w:t>
      </w:r>
    </w:p>
    <w:p>
      <w:pPr>
        <w:pStyle w:val="Compact"/>
        <w:numPr>
          <w:ilvl w:val="0"/>
          <w:numId w:val="1005"/>
        </w:numPr>
      </w:pPr>
      <w:r>
        <w:t xml:space="preserve">The company is investing heavily to expand capacity, supported by a</w:t>
      </w:r>
      <w:r>
        <w:t xml:space="preserve"> </w:t>
      </w:r>
      <w:r>
        <w:rPr>
          <w:b/>
          <w:bCs/>
        </w:rPr>
        <w:t xml:space="preserve">$1B Department of War investment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LHX intends to take the business public as</w:t>
      </w:r>
      <w:r>
        <w:t xml:space="preserve"> </w:t>
      </w:r>
      <w:r>
        <w:rPr>
          <w:b/>
          <w:bCs/>
        </w:rPr>
        <w:t xml:space="preserve">AXYV</w:t>
      </w:r>
      <w:r>
        <w:t xml:space="preserve">, while retaining a controlling stake.</w:t>
      </w:r>
    </w:p>
    <w:p>
      <w:pPr>
        <w:pStyle w:val="FirstParagraph"/>
      </w:pPr>
      <w:r>
        <w:t xml:space="preserve">For this print, the most important update is not necessarily a near-term revenue beat. It is</w:t>
      </w:r>
      <w:r>
        <w:t xml:space="preserve"> </w:t>
      </w:r>
      <w:r>
        <w:rPr>
          <w:b/>
          <w:bCs/>
        </w:rPr>
        <w:t xml:space="preserve">progress toward executable framework agreements and eventual definitized multiyear contracts</w:t>
      </w:r>
      <w:r>
        <w:t xml:space="preserve">. Management previously targeted contract progress by the end of calendar 2026, meaning investors should not assume the full potential order value will immediately enter backlog in 2Q.</w:t>
      </w:r>
    </w:p>
    <w:p>
      <w:pPr>
        <w:pStyle w:val="BodyText"/>
      </w:pPr>
      <w:r>
        <w:t xml:space="preserve">The quarter should also help investors separate durable margin improvement from temporary benefits. 1Q Missile Solutions margin included legacy-asset monetization, partially offset by unfavorable estimate-at-completion adjustments. Evidence of improving production execution and supply-chain readiness would matter more than a single-quarter margin number.</w:t>
      </w:r>
    </w:p>
    <w:bookmarkEnd w:id="13"/>
    <w:bookmarkEnd w:id="14"/>
    <w:bookmarkStart w:id="15" w:name="free-cash-flow-is-a-key-swing-factor"/>
    <w:p>
      <w:pPr>
        <w:pStyle w:val="Heading2"/>
      </w:pPr>
      <w:r>
        <w:t xml:space="preserve">Free cash flow is a key swing factor</w:t>
      </w:r>
    </w:p>
    <w:p>
      <w:pPr>
        <w:pStyle w:val="FirstParagraph"/>
      </w:pPr>
      <w:r>
        <w:t xml:space="preserve">L3Harris produced</w:t>
      </w:r>
      <w:r>
        <w:t xml:space="preserve"> </w:t>
      </w:r>
      <w:r>
        <w:rPr>
          <w:b/>
          <w:bCs/>
        </w:rPr>
        <w:t xml:space="preserve">negative</w:t>
      </w:r>
      <w:r>
        <w:rPr>
          <w:b/>
          <w:bCs/>
        </w:rPr>
        <w:t xml:space="preserve"> </w:t>
      </w:r>
      <m:oMath>
        <m:r>
          <m:t>187</m:t>
        </m:r>
        <m:r>
          <m:t>M</m:t>
        </m:r>
        <m:r>
          <m:t>o</m:t>
        </m:r>
        <m:r>
          <m:t>f</m:t>
        </m:r>
        <m:r>
          <m:t>f</m:t>
        </m:r>
        <m:r>
          <m:t>r</m:t>
        </m:r>
        <m:r>
          <m:t>e</m:t>
        </m:r>
        <m:r>
          <m:t>e</m:t>
        </m:r>
        <m:r>
          <m:t>c</m:t>
        </m:r>
        <m:r>
          <m:t>a</m:t>
        </m:r>
        <m:r>
          <m:t>s</m:t>
        </m:r>
        <m:r>
          <m:t>h</m:t>
        </m:r>
        <m:r>
          <m:t>f</m:t>
        </m:r>
        <m:r>
          <m:t>l</m:t>
        </m:r>
        <m:r>
          <m:t>o</m:t>
        </m:r>
        <m:r>
          <m:t>w</m:t>
        </m:r>
        <m:r>
          <m:t>i</m:t>
        </m:r>
        <m:r>
          <m:t>n</m:t>
        </m:r>
        <m:r>
          <m:t>1</m:t>
        </m:r>
        <m:r>
          <m:t>Q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c</m:t>
        </m:r>
        <m:r>
          <m:t>o</m:t>
        </m:r>
        <m:r>
          <m:t>n</m:t>
        </m:r>
        <m:r>
          <m:t>s</m:t>
        </m:r>
        <m:r>
          <m:t>i</m:t>
        </m:r>
        <m:r>
          <m:t>s</m:t>
        </m:r>
        <m:r>
          <m:t>t</m:t>
        </m:r>
        <m:r>
          <m:t>e</m:t>
        </m:r>
        <m:r>
          <m:t>n</m:t>
        </m:r>
        <m:r>
          <m:t>t</m:t>
        </m:r>
        <m:r>
          <m:t>w</m:t>
        </m:r>
        <m:r>
          <m:t>i</m:t>
        </m:r>
        <m:r>
          <m:t>t</m:t>
        </m:r>
        <m:r>
          <m:t>h</m:t>
        </m:r>
        <m:r>
          <m:t>i</m:t>
        </m:r>
        <m:r>
          <m:t>t</m:t>
        </m:r>
        <m:r>
          <m:t>s</m:t>
        </m:r>
        <m:r>
          <m:t>n</m:t>
        </m:r>
        <m:r>
          <m:t>o</m:t>
        </m:r>
        <m:r>
          <m:t>r</m:t>
        </m:r>
        <m:r>
          <m:t>m</m:t>
        </m:r>
        <m:r>
          <m:t>a</m:t>
        </m:r>
        <m:r>
          <m:t>l</m:t>
        </m:r>
        <m:r>
          <m:t>e</m:t>
        </m:r>
        <m:r>
          <m:t>a</m:t>
        </m:r>
        <m:r>
          <m:t>r</m:t>
        </m:r>
        <m:r>
          <m:t>l</m:t>
        </m:r>
        <m:r>
          <m:t>y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w</m:t>
        </m:r>
        <m:r>
          <m:t>o</m:t>
        </m:r>
        <m:r>
          <m:t>r</m:t>
        </m:r>
        <m:r>
          <m:t>k</m:t>
        </m:r>
        <m:r>
          <m:t>i</m:t>
        </m:r>
        <m:r>
          <m:t>n</m:t>
        </m:r>
        <m:r>
          <m:t>g</m:t>
        </m:r>
        <m:r>
          <m:rPr>
            <m:sty m:val="p"/>
          </m:rPr>
          <m:t>−</m:t>
        </m:r>
        <m:r>
          <m:t>c</m:t>
        </m:r>
        <m:r>
          <m:t>a</m:t>
        </m:r>
        <m:r>
          <m:t>p</m:t>
        </m:r>
        <m:r>
          <m:t>i</m:t>
        </m:r>
        <m:r>
          <m:t>t</m:t>
        </m:r>
        <m:r>
          <m:t>a</m:t>
        </m:r>
        <m:r>
          <m:t>l</m:t>
        </m:r>
        <m:r>
          <m:t>s</m:t>
        </m:r>
        <m:r>
          <m:t>e</m:t>
        </m:r>
        <m:r>
          <m:t>a</m:t>
        </m:r>
        <m:r>
          <m:t>s</m:t>
        </m:r>
        <m:r>
          <m:t>o</m:t>
        </m:r>
        <m:r>
          <m:t>n</m:t>
        </m:r>
        <m:r>
          <m:t>a</m:t>
        </m:r>
        <m:r>
          <m:t>l</m:t>
        </m:r>
        <m:r>
          <m:t>i</m:t>
        </m:r>
        <m:r>
          <m:t>t</m:t>
        </m:r>
        <m:r>
          <m:t>y</m:t>
        </m:r>
        <m:r>
          <m:rPr>
            <m:sty m:val="p"/>
          </m:rPr>
          <m:t>.</m:t>
        </m:r>
        <m:r>
          <m:t>S</m:t>
        </m:r>
        <m:r>
          <m:t>t</m:t>
        </m:r>
        <m:r>
          <m:t>i</m:t>
        </m:r>
        <m:r>
          <m:t>l</m:t>
        </m:r>
        <m:r>
          <m:t>l</m:t>
        </m:r>
        <m:r>
          <m:rPr>
            <m:sty m:val="p"/>
          </m:rPr>
          <m:t>,</m:t>
        </m:r>
        <m:r>
          <m:t>t</m:t>
        </m:r>
        <m:r>
          <m:t>h</m:t>
        </m:r>
        <m:r>
          <m:t>e</m:t>
        </m:r>
        <m:r>
          <m:t>c</m:t>
        </m:r>
        <m:r>
          <m:t>o</m:t>
        </m:r>
        <m:r>
          <m:t>m</m:t>
        </m:r>
        <m:r>
          <m:t>p</m:t>
        </m:r>
        <m:r>
          <m:t>a</m:t>
        </m:r>
        <m:r>
          <m:t>n</m:t>
        </m:r>
        <m:r>
          <m:t>y</m:t>
        </m:r>
        <m:r>
          <m:t>m</m:t>
        </m:r>
        <m:r>
          <m:t>u</m:t>
        </m:r>
        <m:r>
          <m:t>s</m:t>
        </m:r>
        <m:r>
          <m:t>t</m:t>
        </m:r>
        <m:r>
          <m:t>n</m:t>
        </m:r>
        <m:r>
          <m:t>o</m:t>
        </m:r>
        <m:r>
          <m:t>w</m:t>
        </m:r>
        <m:r>
          <m:t>g</m:t>
        </m:r>
        <m:r>
          <m:t>e</m:t>
        </m:r>
        <m:r>
          <m:t>n</m:t>
        </m:r>
        <m:r>
          <m:t>e</m:t>
        </m:r>
        <m:r>
          <m:t>r</m:t>
        </m:r>
        <m:r>
          <m:t>a</m:t>
        </m:r>
        <m:r>
          <m:t>t</m:t>
        </m:r>
        <m:r>
          <m:t>e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3.19B of free cash flow over the final three quarters</w:t>
      </w:r>
      <w:r>
        <w:t xml:space="preserve"> </w:t>
      </w:r>
      <w:r>
        <w:t xml:space="preserve">to achieve its $3.0B full-year target.</w:t>
      </w:r>
    </w:p>
    <w:p>
      <w:pPr>
        <w:pStyle w:val="BodyText"/>
      </w:pPr>
      <w:r>
        <w:t xml:space="preserve">That makes 2Q cash conversion especially important.</w:t>
      </w:r>
    </w:p>
    <w:p>
      <w:pPr>
        <w:pStyle w:val="BodyText"/>
      </w:pPr>
      <w:r>
        <w:t xml:space="preserve">A solid recovery would support three pieces of the investment case simultaneously:</w:t>
      </w:r>
    </w:p>
    <w:p>
      <w:pPr>
        <w:pStyle w:val="Compact"/>
        <w:numPr>
          <w:ilvl w:val="0"/>
          <w:numId w:val="1006"/>
        </w:numPr>
      </w:pPr>
      <w:r>
        <w:t xml:space="preserve">Confidence in the FY2026 free-cash-flow target;</w:t>
      </w:r>
    </w:p>
    <w:p>
      <w:pPr>
        <w:pStyle w:val="Compact"/>
        <w:numPr>
          <w:ilvl w:val="0"/>
          <w:numId w:val="1006"/>
        </w:numPr>
      </w:pPr>
      <w:r>
        <w:t xml:space="preserve">Funding for planned growth investments and missile-capacity expansion;</w:t>
      </w:r>
    </w:p>
    <w:p>
      <w:pPr>
        <w:pStyle w:val="Compact"/>
        <w:numPr>
          <w:ilvl w:val="0"/>
          <w:numId w:val="1006"/>
        </w:numPr>
      </w:pPr>
      <w:r>
        <w:t xml:space="preserve">Balance-sheet flexibility while maintaining dividends, dilution-offsetting repurchases, and portfolio actions.</w:t>
      </w:r>
    </w:p>
    <w:p>
      <w:pPr>
        <w:pStyle w:val="FirstParagraph"/>
      </w:pPr>
      <w:r>
        <w:t xml:space="preserve">For context, LHX generated</w:t>
      </w:r>
      <w:r>
        <w:t xml:space="preserve"> </w:t>
      </w:r>
      <w:r>
        <w:rPr>
          <w:b/>
          <w:bCs/>
        </w:rPr>
        <w:t xml:space="preserve">$561M of reported free cash flow</w:t>
      </w:r>
      <w:r>
        <w:t xml:space="preserve"> </w:t>
      </w:r>
      <w:r>
        <w:t xml:space="preserve">in 2Q25. A comparable or stronger seasonal inflection would be reassuring, though the exact comparison is imperfect given the portfolio reshaping and the company’s elevated investment program.</w:t>
      </w:r>
    </w:p>
    <w:bookmarkEnd w:id="15"/>
    <w:bookmarkStart w:id="18" w:name="Xa380f13314b38fe2ff5c7d291730e1d93b22614"/>
    <w:p>
      <w:pPr>
        <w:pStyle w:val="Heading2"/>
      </w:pPr>
      <w:r>
        <w:t xml:space="preserve">Portfolio actions: What to listen for on the call</w:t>
      </w:r>
    </w:p>
    <w:bookmarkStart w:id="16" w:name="axyv--missile-solutions-ipo"/>
    <w:p>
      <w:pPr>
        <w:pStyle w:val="Heading3"/>
      </w:pPr>
      <w:r>
        <w:t xml:space="preserve">AXYV / Missile Solutions IPO</w:t>
      </w:r>
    </w:p>
    <w:p>
      <w:pPr>
        <w:pStyle w:val="FirstParagraph"/>
      </w:pPr>
      <w:r>
        <w:t xml:space="preserve">LHX filed a confidential S-1 for the Missile Solutions IPO in April and has said it expects the transaction to occur during 2026. Investors should seek clarity on:</w:t>
      </w:r>
    </w:p>
    <w:p>
      <w:pPr>
        <w:pStyle w:val="Compact"/>
        <w:numPr>
          <w:ilvl w:val="0"/>
          <w:numId w:val="1007"/>
        </w:numPr>
      </w:pPr>
      <w:r>
        <w:t xml:space="preserve">Whether the 2026 timing remains intact;</w:t>
      </w:r>
    </w:p>
    <w:p>
      <w:pPr>
        <w:pStyle w:val="Compact"/>
        <w:numPr>
          <w:ilvl w:val="0"/>
          <w:numId w:val="1007"/>
        </w:numPr>
      </w:pPr>
      <w:r>
        <w:t xml:space="preserve">The status of Department of War and customer framework agreements;</w:t>
      </w:r>
    </w:p>
    <w:p>
      <w:pPr>
        <w:pStyle w:val="Compact"/>
        <w:numPr>
          <w:ilvl w:val="0"/>
          <w:numId w:val="1007"/>
        </w:numPr>
      </w:pPr>
      <w:r>
        <w:t xml:space="preserve">The planned capital structure and use of proceeds;</w:t>
      </w:r>
    </w:p>
    <w:p>
      <w:pPr>
        <w:pStyle w:val="Compact"/>
        <w:numPr>
          <w:ilvl w:val="0"/>
          <w:numId w:val="1007"/>
        </w:numPr>
      </w:pPr>
      <w:r>
        <w:t xml:space="preserve">How LHX will update consolidated guidance once the transaction occurs;</w:t>
      </w:r>
    </w:p>
    <w:p>
      <w:pPr>
        <w:pStyle w:val="Compact"/>
        <w:numPr>
          <w:ilvl w:val="0"/>
          <w:numId w:val="1007"/>
        </w:numPr>
      </w:pPr>
      <w:r>
        <w:t xml:space="preserve">Whether the IPO is still viewed primarily as a value-unlocking move rather than a financing necessity.</w:t>
      </w:r>
    </w:p>
    <w:bookmarkEnd w:id="16"/>
    <w:bookmarkStart w:id="17" w:name="X897092b24277bc6868e0af5f113e3fc7285d926"/>
    <w:p>
      <w:pPr>
        <w:pStyle w:val="Heading3"/>
      </w:pPr>
      <w:r>
        <w:t xml:space="preserve">Space Propulsion &amp; Power Systems transaction</w:t>
      </w:r>
    </w:p>
    <w:p>
      <w:pPr>
        <w:pStyle w:val="FirstParagraph"/>
      </w:pPr>
      <w:r>
        <w:t xml:space="preserve">L3Harris has agreed to sell a 60% stake in its Space Propulsion &amp; Power Systems business, retaining a 40% stake. Management had expected the deal to close in the second half of 2026.</w:t>
      </w:r>
    </w:p>
    <w:p>
      <w:pPr>
        <w:pStyle w:val="BodyText"/>
      </w:pPr>
      <w:r>
        <w:t xml:space="preserve">The main questions are timing, regulatory conditions, expected accounting treatment, and the eventual impact on LHX’s revenue, margins, cash flow, and guidance.</w:t>
      </w:r>
    </w:p>
    <w:bookmarkEnd w:id="17"/>
    <w:bookmarkEnd w:id="18"/>
    <w:bookmarkStart w:id="19" w:name="key-metrics-and-signals-to-monitor"/>
    <w:p>
      <w:pPr>
        <w:pStyle w:val="Heading2"/>
      </w:pPr>
      <w:r>
        <w:t xml:space="preserve">Key metrics and signals to monitor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Area</w:t>
            </w:r>
          </w:p>
        </w:tc>
        <w:tc>
          <w:tcPr/>
          <w:p>
            <w:pPr>
              <w:pStyle w:val="Compact"/>
            </w:pPr>
            <w:r>
              <w:t xml:space="preserve">What investors should watch</w:t>
            </w:r>
          </w:p>
        </w:tc>
        <w:tc>
          <w:tcPr/>
          <w:p>
            <w:pPr>
              <w:pStyle w:val="Compact"/>
            </w:pPr>
            <w:r>
              <w:t xml:space="preserve">Why it matters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Organic growth pace and FY26 revenue outlook</w:t>
            </w:r>
          </w:p>
        </w:tc>
        <w:tc>
          <w:tcPr/>
          <w:p>
            <w:pPr>
              <w:pStyle w:val="Compact"/>
            </w:pPr>
            <w:r>
              <w:t xml:space="preserve">Determines whether 1Q momentum is durable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Orders / backlog</w:t>
            </w:r>
          </w:p>
        </w:tc>
        <w:tc>
          <w:tcPr/>
          <w:p>
            <w:pPr>
              <w:pStyle w:val="Compact"/>
            </w:pPr>
            <w:r>
              <w:t xml:space="preserve">Book-to-bill, international orders, missile-framework progress</w:t>
            </w:r>
          </w:p>
        </w:tc>
        <w:tc>
          <w:tcPr/>
          <w:p>
            <w:pPr>
              <w:pStyle w:val="Compact"/>
            </w:pPr>
            <w:r>
              <w:t xml:space="preserve">Tests visibility into the 2027–28 growth algorithm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SMS</w:t>
            </w:r>
          </w:p>
        </w:tc>
        <w:tc>
          <w:tcPr/>
          <w:p>
            <w:pPr>
              <w:pStyle w:val="Compact"/>
            </w:pPr>
            <w:r>
              <w:t xml:space="preserve">Sustainability of space, classified, ISR, and missionized-aircraft growth</w:t>
            </w:r>
          </w:p>
        </w:tc>
        <w:tc>
          <w:tcPr/>
          <w:p>
            <w:pPr>
              <w:pStyle w:val="Compact"/>
            </w:pPr>
            <w:r>
              <w:t xml:space="preserve">SMS is the largest engine of near-term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CSD</w:t>
            </w:r>
          </w:p>
        </w:tc>
        <w:tc>
          <w:tcPr/>
          <w:p>
            <w:pPr>
              <w:pStyle w:val="Compact"/>
            </w:pPr>
            <w:r>
              <w:t xml:space="preserve">Radio growth and margin normalization</w:t>
            </w:r>
          </w:p>
        </w:tc>
        <w:tc>
          <w:tcPr/>
          <w:p>
            <w:pPr>
              <w:pStyle w:val="Compact"/>
            </w:pPr>
            <w:r>
              <w:t xml:space="preserve">Tests durability of the highest-margin segment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Missile Solutions</w:t>
            </w:r>
          </w:p>
        </w:tc>
        <w:tc>
          <w:tcPr/>
          <w:p>
            <w:pPr>
              <w:pStyle w:val="Compact"/>
            </w:pPr>
            <w:r>
              <w:t xml:space="preserve">Capacity progress, supply chain, pricing, contract timing</w:t>
            </w:r>
          </w:p>
        </w:tc>
        <w:tc>
          <w:tcPr/>
          <w:p>
            <w:pPr>
              <w:pStyle w:val="Compact"/>
            </w:pPr>
            <w:r>
              <w:t xml:space="preserve">Essential to the AXYV valuation and 2028 framework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Margins</w:t>
            </w:r>
          </w:p>
        </w:tc>
        <w:tc>
          <w:tcPr/>
          <w:p>
            <w:pPr>
              <w:pStyle w:val="Compact"/>
            </w:pPr>
            <w:r>
              <w:t xml:space="preserve">Segment margin versus “low-16%” FY target</w:t>
            </w:r>
          </w:p>
        </w:tc>
        <w:tc>
          <w:tcPr/>
          <w:p>
            <w:pPr>
              <w:pStyle w:val="Compact"/>
            </w:pPr>
            <w:r>
              <w:t xml:space="preserve">Must improve despite investment and growth mix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2Q recovery and confidence in $3B FY target</w:t>
            </w:r>
          </w:p>
        </w:tc>
        <w:tc>
          <w:tcPr/>
          <w:p>
            <w:pPr>
              <w:pStyle w:val="Compact"/>
            </w:pPr>
            <w:r>
              <w:t xml:space="preserve">The most important financial proof point after revenue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Portfolio actions</w:t>
            </w:r>
          </w:p>
        </w:tc>
        <w:tc>
          <w:tcPr/>
          <w:p>
            <w:pPr>
              <w:pStyle w:val="Compact"/>
            </w:pPr>
            <w:r>
              <w:t xml:space="preserve">IPO and divestiture timing</w:t>
            </w:r>
          </w:p>
        </w:tc>
        <w:tc>
          <w:tcPr/>
          <w:p>
            <w:pPr>
              <w:pStyle w:val="Compact"/>
            </w:pPr>
            <w:r>
              <w:t xml:space="preserve">Could reset the equity narrative and earnings model</w:t>
            </w:r>
          </w:p>
        </w:tc>
      </w:tr>
    </w:tbl>
    <w:bookmarkEnd w:id="19"/>
    <w:bookmarkStart w:id="23" w:name="potential-market-reactions"/>
    <w:p>
      <w:pPr>
        <w:pStyle w:val="Heading2"/>
      </w:pPr>
      <w:r>
        <w:t xml:space="preserve">Potential market reactions</w:t>
      </w:r>
    </w:p>
    <w:bookmarkStart w:id="20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08"/>
        </w:numPr>
      </w:pPr>
      <w:r>
        <w:t xml:space="preserve">Revenue guidance rises, or management provides unusually firm language around upside.</w:t>
      </w:r>
    </w:p>
    <w:p>
      <w:pPr>
        <w:pStyle w:val="Compact"/>
        <w:numPr>
          <w:ilvl w:val="0"/>
          <w:numId w:val="1008"/>
        </w:numPr>
      </w:pPr>
      <w:r>
        <w:t xml:space="preserve">SMS growth remains strong without an outsized reliance on classified milestone timing.</w:t>
      </w:r>
    </w:p>
    <w:p>
      <w:pPr>
        <w:pStyle w:val="Compact"/>
        <w:numPr>
          <w:ilvl w:val="0"/>
          <w:numId w:val="1008"/>
        </w:numPr>
      </w:pPr>
      <w:r>
        <w:t xml:space="preserve">CSD reaccelerates while preserving near-25% margins.</w:t>
      </w:r>
    </w:p>
    <w:p>
      <w:pPr>
        <w:pStyle w:val="Compact"/>
        <w:numPr>
          <w:ilvl w:val="0"/>
          <w:numId w:val="1008"/>
        </w:numPr>
      </w:pPr>
      <w:r>
        <w:t xml:space="preserve">Free cash flow turns decisively positive and management reiterates $3B with conviction.</w:t>
      </w:r>
    </w:p>
    <w:p>
      <w:pPr>
        <w:pStyle w:val="Compact"/>
        <w:numPr>
          <w:ilvl w:val="0"/>
          <w:numId w:val="1008"/>
        </w:numPr>
      </w:pPr>
      <w:r>
        <w:t xml:space="preserve">AXYV IPO and Munitions Acceleration Council framework negotiations advance visibly.</w:t>
      </w:r>
    </w:p>
    <w:bookmarkEnd w:id="20"/>
    <w:bookmarkStart w:id="21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09"/>
        </w:numPr>
      </w:pPr>
      <w:r>
        <w:t xml:space="preserve">Full-year guidance is reaffirmed.</w:t>
      </w:r>
    </w:p>
    <w:p>
      <w:pPr>
        <w:pStyle w:val="Compact"/>
        <w:numPr>
          <w:ilvl w:val="0"/>
          <w:numId w:val="1009"/>
        </w:numPr>
      </w:pPr>
      <w:r>
        <w:t xml:space="preserve">Revenue growth moderates from 1Q but remains healthy.</w:t>
      </w:r>
    </w:p>
    <w:p>
      <w:pPr>
        <w:pStyle w:val="Compact"/>
        <w:numPr>
          <w:ilvl w:val="0"/>
          <w:numId w:val="1009"/>
        </w:numPr>
      </w:pPr>
      <w:r>
        <w:t xml:space="preserve">Cash flow improves seasonally, though most FY cash generation remains back-end weighted.</w:t>
      </w:r>
    </w:p>
    <w:p>
      <w:pPr>
        <w:pStyle w:val="Compact"/>
        <w:numPr>
          <w:ilvl w:val="0"/>
          <w:numId w:val="1009"/>
        </w:numPr>
      </w:pPr>
      <w:r>
        <w:t xml:space="preserve">Management reiterates 2026 timing for portfolio actions without providing final transaction terms.</w:t>
      </w:r>
    </w:p>
    <w:bookmarkEnd w:id="21"/>
    <w:bookmarkStart w:id="22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0"/>
        </w:numPr>
      </w:pPr>
      <w:r>
        <w:t xml:space="preserve">Top-line growth slows materially, particularly in SMS or CSD.</w:t>
      </w:r>
    </w:p>
    <w:p>
      <w:pPr>
        <w:pStyle w:val="Compact"/>
        <w:numPr>
          <w:ilvl w:val="0"/>
          <w:numId w:val="1010"/>
        </w:numPr>
      </w:pPr>
      <w:r>
        <w:t xml:space="preserve">Segment margins weaken after stripping out favorable 1Q items.</w:t>
      </w:r>
    </w:p>
    <w:p>
      <w:pPr>
        <w:pStyle w:val="Compact"/>
        <w:numPr>
          <w:ilvl w:val="0"/>
          <w:numId w:val="1010"/>
        </w:numPr>
      </w:pPr>
      <w:r>
        <w:t xml:space="preserve">Working capital remains a drag, creating doubt around the $3B free-cash-flow target.</w:t>
      </w:r>
    </w:p>
    <w:p>
      <w:pPr>
        <w:pStyle w:val="Compact"/>
        <w:numPr>
          <w:ilvl w:val="0"/>
          <w:numId w:val="1010"/>
        </w:numPr>
      </w:pPr>
      <w:r>
        <w:t xml:space="preserve">Missile capacity, framework-contract timing, IPO sequencing, or the Space Propulsion sale slip.</w:t>
      </w:r>
    </w:p>
    <w:bookmarkEnd w:id="22"/>
    <w:bookmarkEnd w:id="23"/>
    <w:bookmarkStart w:id="25" w:name="investment-takeaway"/>
    <w:p>
      <w:pPr>
        <w:pStyle w:val="Heading2"/>
      </w:pPr>
      <w:r>
        <w:t xml:space="preserve">Investment takeaway</w:t>
      </w:r>
    </w:p>
    <w:p>
      <w:pPr>
        <w:pStyle w:val="FirstParagraph"/>
      </w:pPr>
      <w:r>
        <w:t xml:space="preserve">L3Harris’ setup is attractive because the demand environment appears robust across missile defense, space sensing, classified ISR, missionized aircraft, resilient communications, and international modernization. The company’s record</w:t>
      </w:r>
      <w:r>
        <w:t xml:space="preserve"> </w:t>
      </w:r>
      <m:oMath>
        <m:r>
          <m:t>40.7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b</m:t>
        </m:r>
        <m:r>
          <m:t>a</m:t>
        </m:r>
        <m:r>
          <m:t>c</m:t>
        </m:r>
        <m:r>
          <m:t>k</m:t>
        </m:r>
        <m:r>
          <m:t>l</m:t>
        </m:r>
        <m:r>
          <m:t>o</m:t>
        </m:r>
        <m:r>
          <m:t>g</m:t>
        </m:r>
        <m:r>
          <m:t>a</m:t>
        </m:r>
        <m:r>
          <m:t>t</m:t>
        </m:r>
        <m:r>
          <m:t>t</m:t>
        </m:r>
        <m:r>
          <m:t>h</m:t>
        </m:r>
        <m:r>
          <m:t>e</m:t>
        </m:r>
        <m:r>
          <m:t>e</m:t>
        </m:r>
        <m:r>
          <m:t>n</m:t>
        </m:r>
        <m:r>
          <m:t>d</m:t>
        </m:r>
        <m:r>
          <m:t>o</m:t>
        </m:r>
        <m:r>
          <m:t>f</m:t>
        </m:r>
        <m:r>
          <m:t>1</m:t>
        </m:r>
        <m:r>
          <m:t>Q</m:t>
        </m:r>
        <m:r>
          <m:t>a</m:t>
        </m:r>
        <m:r>
          <m:t>n</m:t>
        </m:r>
        <m:r>
          <m:t>d</m:t>
        </m:r>
        <m:r>
          <m:t>i</m:t>
        </m:r>
        <m:r>
          <m:t>t</m:t>
        </m:r>
        <m:r>
          <m:t>s</m:t>
        </m:r>
        <m:r>
          <m:t>2028</m:t>
        </m:r>
        <m:r>
          <m:t>f</m:t>
        </m:r>
        <m:r>
          <m:t>r</m:t>
        </m:r>
        <m:r>
          <m:t>a</m:t>
        </m:r>
        <m:r>
          <m:t>m</m:t>
        </m:r>
        <m:r>
          <m:t>e</m:t>
        </m:r>
        <m:r>
          <m:t>w</m:t>
        </m:r>
        <m:r>
          <m:t>o</m:t>
        </m:r>
        <m:r>
          <m:t>r</m:t>
        </m:r>
        <m:r>
          <m:t>k</m:t>
        </m:r>
        <m:r>
          <m:rPr>
            <m:sty m:val="p"/>
          </m:rPr>
          <m:t>—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27B revenue, $4.4B segment operating income, and $3.5B free cash flow</w:t>
      </w:r>
      <w:r>
        <w:t xml:space="preserve">—give investors a credible long-term target.</w:t>
      </w:r>
    </w:p>
    <w:p>
      <w:pPr>
        <w:pStyle w:val="BodyText"/>
      </w:pPr>
      <w:r>
        <w:t xml:space="preserve">But this report needs to show that the long-term framework is converting into near-term financial proof:</w:t>
      </w:r>
      <w:r>
        <w:t xml:space="preserve"> </w:t>
      </w:r>
      <w:r>
        <w:rPr>
          <w:b/>
          <w:bCs/>
        </w:rPr>
        <w:t xml:space="preserve">organic growth that remains broad-based, margins that improve on an underlying basis, cash that recovers sharply, and portfolio actions that advance from concept to transaction execution.</w:t>
      </w:r>
    </w:p>
    <w:p>
      <w:pPr>
        <w:pStyle w:val="BodyText"/>
      </w:pPr>
      <w:r>
        <w:rPr>
          <w:b/>
          <w:bCs/>
        </w:rPr>
        <w:t xml:space="preserve">Most important call question:</w:t>
      </w:r>
      <w:r>
        <w:t xml:space="preserve"> </w:t>
      </w:r>
      <w:r>
        <w:rPr>
          <w:i/>
          <w:iCs/>
        </w:rPr>
        <w:t xml:space="preserve">After a 15% organic-growth start to the year, what specifically prevents LHX from raising revenue guidance now—and what evidence would management need to see to do so later in 2026?</w:t>
      </w:r>
    </w:p>
    <w:p>
      <w:r>
        <w:pict>
          <v:rect style="width:0;height:1.5pt" o:hralign="center" o:hrstd="t" o:hr="t"/>
        </w:pict>
      </w:r>
    </w:p>
    <w:bookmarkStart w:id="24" w:name="source-basis"/>
    <w:p>
      <w:pPr>
        <w:pStyle w:val="Heading3"/>
      </w:pPr>
      <w:r>
        <w:t xml:space="preserve">Source basis</w:t>
      </w:r>
    </w:p>
    <w:p>
      <w:pPr>
        <w:pStyle w:val="FirstParagraph"/>
      </w:pPr>
      <w:r>
        <w:t xml:space="preserve">Company 1Q26 earnings release and earnings-call transcript; L3Harris 2026 Investor Day transcript; 2Q25 earnings release; L3Harris July 6, 2026 earnings-date announcement; historical closing-price data through July 28, 2026.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2026-07-29T01:35:35Z</dcterms:created>
  <dcterms:modified xsi:type="dcterms:W3CDTF">2026-07-29T01:35:35Z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