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L3Harris Technologies (LHX) — Q2 2026 Earnings Preview</w:t>
      </w:r>
    </w:p>
    <w:p>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Upcoming Earnings: </w:t>
      </w:r>
      <w:r>
        <w:rPr>
          <w:rFonts w:ascii="Calibri" w:hAnsi="Calibri"/>
          <w:color w:val="525866"/>
          <w:sz w:val="22"/>
        </w:rPr>
        <w:t xml:space="preserve">Q2 2026 (expected late July / early August 2026)   </w:t>
      </w:r>
      <w:r>
        <w:rPr>
          <w:rFonts w:ascii="Calibri" w:hAnsi="Calibri"/>
          <w:b/>
          <w:color w:val="525866"/>
          <w:sz w:val="22"/>
        </w:rPr>
        <w:t xml:space="preserve">Last Earnings: </w:t>
      </w:r>
      <w:r>
        <w:rPr>
          <w:rFonts w:ascii="Calibri" w:hAnsi="Calibri"/>
          <w:color w:val="525866"/>
          <w:sz w:val="22"/>
        </w:rPr>
        <w:t>Q1 2026 (reported April 30, 2026)</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stretched — consensus is a manageable bar after management's deliberate conservatism in Q1, and the single biggest swing factor is whether </w:t>
      </w:r>
      <w:r>
        <w:rPr>
          <w:rFonts w:ascii="Calibri" w:hAnsi="Calibri"/>
          <w:b/>
          <w:color w:val="525866"/>
          <w:sz w:val="22"/>
        </w:rPr>
        <w:t>organic revenue growth sustains near the mid-teens pace</w:t>
      </w:r>
      <w:r>
        <w:rPr>
          <w:rFonts w:ascii="Calibri" w:hAnsi="Calibri"/>
          <w:color w:val="525866"/>
          <w:sz w:val="22"/>
        </w:rPr>
        <w:t xml:space="preserve"> seen in Q1 or reverts toward the 7% full-year guide.</w:t>
      </w:r>
    </w:p>
    <w:p>
      <w:r>
        <w:rPr>
          <w:rFonts w:ascii="Calibri" w:hAnsi="Calibri"/>
          <w:color w:val="525866"/>
          <w:sz w:val="22"/>
        </w:rPr>
        <w:t xml:space="preserve">Heading into Q2 2026, LHX faces a </w:t>
      </w:r>
      <w:r>
        <w:rPr>
          <w:rFonts w:ascii="Calibri" w:hAnsi="Calibri"/>
          <w:b/>
          <w:color w:val="525866"/>
          <w:sz w:val="22"/>
        </w:rPr>
        <w:t>beatable consensus bar</w:t>
      </w:r>
      <w:r>
        <w:rPr>
          <w:rFonts w:ascii="Calibri" w:hAnsi="Calibri"/>
          <w:color w:val="525866"/>
          <w:sz w:val="22"/>
        </w:rPr>
        <w:t xml:space="preserve">: Street revenue estimates of ~$5.83B imply ~10% YoY growth, well below the 15% organic growth LHX delivered in Q1, and management explicitly signaled conservatism in the full-year guide when the new CFO declined to raise revenue guidance despite the outsized Q1 beat. Management's tone has been </w:t>
      </w:r>
      <w:r>
        <w:rPr>
          <w:rFonts w:ascii="Calibri" w:hAnsi="Calibri"/>
          <w:b/>
          <w:color w:val="525866"/>
          <w:sz w:val="22"/>
        </w:rPr>
        <w:t>unambiguously bullish</w:t>
      </w:r>
      <w:r>
        <w:rPr>
          <w:rFonts w:ascii="Calibri" w:hAnsi="Calibri"/>
          <w:color w:val="525866"/>
          <w:sz w:val="22"/>
        </w:rPr>
        <w:t xml:space="preserve"> — record $40B+ backlog, a 1.4x book-to-bill in Q1, $25B of MAC program negotiations not yet in backlog, and a 2.2x international book-to-bill — all pointing to durable demand well above the guide. Estimate revisions have been modest and upward since the Q1 print, with Q2 revenue consensus rising ~$43M and operating EPS essentially flat, suggesting the Street has not yet fully priced in the Q1 momentum. The stock has </w:t>
      </w:r>
      <w:r>
        <w:rPr>
          <w:rFonts w:ascii="Calibri" w:hAnsi="Calibri"/>
          <w:b/>
          <w:color w:val="525866"/>
          <w:sz w:val="22"/>
        </w:rPr>
        <w:t>underperformed ITA by roughly 13 percentage points</w:t>
      </w:r>
      <w:r>
        <w:rPr>
          <w:rFonts w:ascii="Calibri" w:hAnsi="Calibri"/>
          <w:color w:val="525866"/>
          <w:sz w:val="22"/>
        </w:rPr>
        <w:t xml:space="preserve"> since the Q1 earnings date (LHX ~−5% vs. ITA ~+12%), driven by the muted reaction to the Q1 beat, the June 16 AXYV IPO bank selection news (which triggered a ~6% single-day decline), and broader sector rotation — creating a setup where the stock is not pricing in a beat. The key wildcard is the </w:t>
      </w:r>
      <w:r>
        <w:rPr>
          <w:rFonts w:ascii="Calibri" w:hAnsi="Calibri"/>
          <w:b/>
          <w:color w:val="525866"/>
          <w:sz w:val="22"/>
        </w:rPr>
        <w:t>AXYV (Missile Solutions) IPO timeline and MAC contract definitization</w:t>
      </w:r>
      <w:r>
        <w:rPr>
          <w:rFonts w:ascii="Calibri" w:hAnsi="Calibri"/>
          <w:color w:val="525866"/>
          <w:sz w:val="22"/>
        </w:rPr>
        <w:t>: any update on IPO pricing, the $25B MAC framework moving to contract, or the HBTSS follow-on award could be the catalyst that closes the gap with peers.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revenue</w:t>
      </w:r>
      <w:r>
        <w:rPr>
          <w:rFonts w:ascii="Calibri" w:hAnsi="Calibri"/>
          <w:color w:val="525866"/>
          <w:sz w:val="22"/>
        </w:rPr>
        <w:t xml:space="preserve"> (~$5.83B, implying ~10% YoY growth vs. 15% organic in Q1) and a manageable bar on operating EPS (~$2.85). </w:t>
      </w:r>
      <w:r>
        <w:rPr>
          <w:rFonts w:ascii="Calibri" w:hAnsi="Calibri"/>
          <w:b/>
          <w:color w:val="525866"/>
          <w:sz w:val="22"/>
        </w:rPr>
        <w:t>Organic revenue growth rate is the bigger swing factor</w:t>
      </w:r>
      <w:r>
        <w:rPr>
          <w:rFonts w:ascii="Calibri" w:hAnsi="Calibri"/>
          <w:color w:val="525866"/>
          <w:sz w:val="22"/>
        </w:rPr>
        <w:t xml:space="preserve"> — any print above ~12% would likely be read as a beat; book-to-bill is the secondary signal for backlog durability.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($B)</w:t>
            </w:r>
          </w:p>
        </w:tc>
        <w:tc>
          <w:tcPr>
            <w:tcW w:type="dxa" w:w="1234"/>
          </w:tcPr>
          <w:p>
            <w:r>
              <w:rPr>
                <w:rFonts w:ascii="Calibri" w:hAnsi="Calibri"/>
                <w:sz w:val="22"/>
              </w:rPr>
              <w:t>$5.744B</w:t>
            </w:r>
          </w:p>
        </w:tc>
        <w:tc>
          <w:tcPr>
            <w:tcW w:type="dxa" w:w="1234"/>
          </w:tcPr>
          <w:p>
            <w:r>
              <w:rPr>
                <w:rFonts w:ascii="Calibri" w:hAnsi="Calibri"/>
                <w:sz w:val="22"/>
              </w:rPr>
              <w:t>$5.426B</w:t>
            </w:r>
          </w:p>
        </w:tc>
        <w:tc>
          <w:tcPr>
            <w:tcW w:type="dxa" w:w="1234"/>
          </w:tcPr>
          <w:p>
            <w:r>
              <w:rPr>
                <w:rFonts w:ascii="Calibri" w:hAnsi="Calibri"/>
                <w:sz w:val="22"/>
              </w:rPr>
              <w:t>$5.825B</w:t>
            </w:r>
          </w:p>
        </w:tc>
        <w:tc>
          <w:tcPr>
            <w:tcW w:type="dxa" w:w="1234"/>
          </w:tcPr>
          <w:p>
            <w:r>
              <w:rPr>
                <w:rFonts w:ascii="Calibri" w:hAnsi="Calibri"/>
                <w:sz w:val="22"/>
              </w:rPr>
              <w:t>+7.4% YoY</w:t>
            </w:r>
          </w:p>
        </w:tc>
        <w:tc>
          <w:tcPr>
            <w:tcW w:type="dxa" w:w="1234"/>
          </w:tcPr>
          <w:p>
            <w:r>
              <w:rPr>
                <w:rFonts w:ascii="Calibri" w:hAnsi="Calibri"/>
                <w:sz w:val="22"/>
              </w:rPr>
              <w:t>$23.0B–$23.5B</w:t>
            </w:r>
          </w:p>
        </w:tc>
        <w:tc>
          <w:tcPr>
            <w:tcW w:type="dxa" w:w="1234"/>
          </w:tcPr>
          <w:p>
            <w:r>
              <w:rPr>
                <w:rFonts w:ascii="Calibri" w:hAnsi="Calibri"/>
                <w:sz w:val="22"/>
              </w:rPr>
              <w:t>~−0.6% vs. midpoint</w:t>
            </w:r>
          </w:p>
        </w:tc>
      </w:tr>
      <w:tr>
        <w:tc>
          <w:tcPr>
            <w:tcW w:type="dxa" w:w="1234"/>
          </w:tcPr>
          <w:p>
            <w:r>
              <w:rPr>
                <w:rFonts w:ascii="Calibri" w:hAnsi="Calibri"/>
                <w:sz w:val="22"/>
              </w:rPr>
              <w:t>Organic Revenue Growth (%)</w:t>
            </w:r>
          </w:p>
        </w:tc>
        <w:tc>
          <w:tcPr>
            <w:tcW w:type="dxa" w:w="1234"/>
          </w:tcPr>
          <w:p>
            <w:r>
              <w:rPr>
                <w:rFonts w:ascii="Calibri" w:hAnsi="Calibri"/>
                <w:sz w:val="22"/>
              </w:rPr>
              <w:t>+15.0%</w:t>
            </w:r>
          </w:p>
        </w:tc>
        <w:tc>
          <w:tcPr>
            <w:tcW w:type="dxa" w:w="1234"/>
          </w:tcPr>
          <w:p>
            <w:r>
              <w:rPr>
                <w:rFonts w:ascii="Calibri" w:hAnsi="Calibri"/>
                <w:sz w:val="22"/>
              </w:rPr>
              <w:t>+6.0%</w:t>
            </w:r>
          </w:p>
        </w:tc>
        <w:tc>
          <w:tcPr>
            <w:tcW w:type="dxa" w:w="1234"/>
          </w:tcPr>
          <w:p>
            <w:r>
              <w:rPr>
                <w:rFonts w:ascii="Calibri" w:hAnsi="Calibri"/>
                <w:sz w:val="22"/>
              </w:rPr>
              <w:t>+7.4%</w:t>
            </w:r>
          </w:p>
        </w:tc>
        <w:tc>
          <w:tcPr>
            <w:tcW w:type="dxa" w:w="1234"/>
          </w:tcPr>
          <w:p>
            <w:r>
              <w:rPr>
                <w:rFonts w:ascii="Calibri" w:hAnsi="Calibri"/>
                <w:sz w:val="22"/>
              </w:rPr>
              <w:t>+140 bps YoY</w:t>
            </w:r>
          </w:p>
        </w:tc>
        <w:tc>
          <w:tcPr>
            <w:tcW w:type="dxa" w:w="1234"/>
          </w:tcPr>
          <w:p>
            <w:r>
              <w:rPr>
                <w:rFonts w:ascii="Calibri" w:hAnsi="Calibri"/>
                <w:sz w:val="22"/>
              </w:rPr>
              <w:t>~7% (midpoint)</w:t>
            </w:r>
          </w:p>
        </w:tc>
        <w:tc>
          <w:tcPr>
            <w:tcW w:type="dxa" w:w="1234"/>
          </w:tcPr>
          <w:p>
            <w:r>
              <w:rPr>
                <w:rFonts w:ascii="Calibri" w:hAnsi="Calibri"/>
                <w:sz w:val="22"/>
              </w:rPr>
              <w:t>~+40 bps above guide</w:t>
            </w:r>
          </w:p>
        </w:tc>
      </w:tr>
      <w:tr>
        <w:tc>
          <w:tcPr>
            <w:tcW w:type="dxa" w:w="1234"/>
          </w:tcPr>
          <w:p>
            <w:r>
              <w:rPr>
                <w:rFonts w:ascii="Calibri" w:hAnsi="Calibri"/>
                <w:sz w:val="22"/>
              </w:rPr>
              <w:t>EPS — Diluted Operating ($)</w:t>
            </w:r>
          </w:p>
        </w:tc>
        <w:tc>
          <w:tcPr>
            <w:tcW w:type="dxa" w:w="1234"/>
          </w:tcPr>
          <w:p>
            <w:r>
              <w:rPr>
                <w:rFonts w:ascii="Calibri" w:hAnsi="Calibri"/>
                <w:sz w:val="22"/>
              </w:rPr>
              <w:t>$2.72</w:t>
            </w:r>
          </w:p>
        </w:tc>
        <w:tc>
          <w:tcPr>
            <w:tcW w:type="dxa" w:w="1234"/>
          </w:tcPr>
          <w:p>
            <w:r>
              <w:rPr>
                <w:rFonts w:ascii="Calibri" w:hAnsi="Calibri"/>
                <w:sz w:val="22"/>
              </w:rPr>
              <w:t>$2.78</w:t>
            </w:r>
          </w:p>
        </w:tc>
        <w:tc>
          <w:tcPr>
            <w:tcW w:type="dxa" w:w="1234"/>
          </w:tcPr>
          <w:p>
            <w:r>
              <w:rPr>
                <w:rFonts w:ascii="Calibri" w:hAnsi="Calibri"/>
                <w:sz w:val="22"/>
              </w:rPr>
              <w:t>$2.85</w:t>
            </w:r>
          </w:p>
        </w:tc>
        <w:tc>
          <w:tcPr>
            <w:tcW w:type="dxa" w:w="1234"/>
          </w:tcPr>
          <w:p>
            <w:r>
              <w:rPr>
                <w:rFonts w:ascii="Calibri" w:hAnsi="Calibri"/>
                <w:sz w:val="22"/>
              </w:rPr>
              <w:t>+2.5% YoY</w:t>
            </w:r>
          </w:p>
        </w:tc>
        <w:tc>
          <w:tcPr>
            <w:tcW w:type="dxa" w:w="1234"/>
          </w:tcPr>
          <w:p>
            <w:r>
              <w:rPr>
                <w:rFonts w:ascii="Calibri" w:hAnsi="Calibri"/>
                <w:sz w:val="22"/>
              </w:rPr>
              <w:t>$11.40–$11.60 (GAAP)</w:t>
            </w:r>
          </w:p>
        </w:tc>
        <w:tc>
          <w:tcPr>
            <w:tcW w:type="dxa" w:w="1234"/>
          </w:tcPr>
          <w:p>
            <w:r>
              <w:rPr>
                <w:rFonts w:ascii="Calibri" w:hAnsi="Calibri"/>
                <w:sz w:val="22"/>
              </w:rPr>
              <w:t>N/A (GAAP vs. Adj.)</w:t>
            </w:r>
          </w:p>
        </w:tc>
      </w:tr>
      <w:tr>
        <w:tc>
          <w:tcPr>
            <w:tcW w:type="dxa" w:w="1234"/>
          </w:tcPr>
          <w:p>
            <w:r>
              <w:rPr>
                <w:rFonts w:ascii="Calibri" w:hAnsi="Calibri"/>
                <w:sz w:val="22"/>
              </w:rPr>
              <w:t>Segment Operating Margin (%)</w:t>
            </w:r>
          </w:p>
        </w:tc>
        <w:tc>
          <w:tcPr>
            <w:tcW w:type="dxa" w:w="1234"/>
          </w:tcPr>
          <w:p>
            <w:r>
              <w:rPr>
                <w:rFonts w:ascii="Calibri" w:hAnsi="Calibri"/>
                <w:sz w:val="22"/>
              </w:rPr>
              <w:t>~14.0%</w:t>
            </w:r>
          </w:p>
        </w:tc>
        <w:tc>
          <w:tcPr>
            <w:tcW w:type="dxa" w:w="1234"/>
          </w:tcPr>
          <w:p>
            <w:r>
              <w:rPr>
                <w:rFonts w:ascii="Calibri" w:hAnsi="Calibri"/>
                <w:sz w:val="22"/>
              </w:rPr>
              <w:t>~13.4%</w:t>
            </w:r>
          </w:p>
        </w:tc>
        <w:tc>
          <w:tcPr>
            <w:tcW w:type="dxa" w:w="1234"/>
          </w:tcPr>
          <w:p>
            <w:r>
              <w:rPr>
                <w:rFonts w:ascii="Calibri" w:hAnsi="Calibri"/>
                <w:sz w:val="22"/>
              </w:rPr>
              <w:t>~14.4%</w:t>
            </w:r>
          </w:p>
        </w:tc>
        <w:tc>
          <w:tcPr>
            <w:tcW w:type="dxa" w:w="1234"/>
          </w:tcPr>
          <w:p>
            <w:r>
              <w:rPr>
                <w:rFonts w:ascii="Calibri" w:hAnsi="Calibri"/>
                <w:sz w:val="22"/>
              </w:rPr>
              <w:t>+100 bps YoY</w:t>
            </w:r>
          </w:p>
        </w:tc>
        <w:tc>
          <w:tcPr>
            <w:tcW w:type="dxa" w:w="1234"/>
          </w:tcPr>
          <w:p>
            <w:r>
              <w:rPr>
                <w:rFonts w:ascii="Calibri" w:hAnsi="Calibri"/>
                <w:sz w:val="22"/>
              </w:rPr>
              <w:t>Low 16%</w:t>
            </w:r>
          </w:p>
        </w:tc>
        <w:tc>
          <w:tcPr>
            <w:tcW w:type="dxa" w:w="1234"/>
          </w:tcPr>
          <w:p>
            <w:r>
              <w:rPr>
                <w:rFonts w:ascii="Calibri" w:hAnsi="Calibri"/>
                <w:sz w:val="22"/>
              </w:rPr>
              <w:t>~−160 bps below guide</w:t>
            </w:r>
          </w:p>
        </w:tc>
      </w:tr>
      <w:tr>
        <w:tc>
          <w:tcPr>
            <w:tcW w:type="dxa" w:w="1234"/>
          </w:tcPr>
          <w:p>
            <w:r>
              <w:rPr>
                <w:rFonts w:ascii="Calibri" w:hAnsi="Calibri"/>
                <w:sz w:val="22"/>
              </w:rPr>
              <w:t>Free Cash Flow ($B)</w:t>
            </w:r>
          </w:p>
        </w:tc>
        <w:tc>
          <w:tcPr>
            <w:tcW w:type="dxa" w:w="1234"/>
          </w:tcPr>
          <w:p>
            <w:r>
              <w:rPr>
                <w:rFonts w:ascii="Calibri" w:hAnsi="Calibri"/>
                <w:sz w:val="22"/>
              </w:rPr>
              <w:t>−$0.194B</w:t>
            </w:r>
          </w:p>
        </w:tc>
        <w:tc>
          <w:tcPr>
            <w:tcW w:type="dxa" w:w="1234"/>
          </w:tcPr>
          <w:p>
            <w:r>
              <w:rPr>
                <w:rFonts w:ascii="Calibri" w:hAnsi="Calibri"/>
                <w:sz w:val="22"/>
              </w:rPr>
              <w:t>$0.552B</w:t>
            </w:r>
          </w:p>
        </w:tc>
        <w:tc>
          <w:tcPr>
            <w:tcW w:type="dxa" w:w="1234"/>
          </w:tcPr>
          <w:p>
            <w:r>
              <w:rPr>
                <w:rFonts w:ascii="Calibri" w:hAnsi="Calibri"/>
                <w:sz w:val="22"/>
              </w:rPr>
              <w:t>$0.786B</w:t>
            </w:r>
          </w:p>
        </w:tc>
        <w:tc>
          <w:tcPr>
            <w:tcW w:type="dxa" w:w="1234"/>
          </w:tcPr>
          <w:p>
            <w:r>
              <w:rPr>
                <w:rFonts w:ascii="Calibri" w:hAnsi="Calibri"/>
                <w:sz w:val="22"/>
              </w:rPr>
              <w:t>+42% YoY</w:t>
            </w:r>
          </w:p>
        </w:tc>
        <w:tc>
          <w:tcPr>
            <w:tcW w:type="dxa" w:w="1234"/>
          </w:tcPr>
          <w:p>
            <w:r>
              <w:rPr>
                <w:rFonts w:ascii="Calibri" w:hAnsi="Calibri"/>
                <w:sz w:val="22"/>
              </w:rPr>
              <w:t>~$3.0B</w:t>
            </w:r>
          </w:p>
        </w:tc>
        <w:tc>
          <w:tcPr>
            <w:tcW w:type="dxa" w:w="1234"/>
          </w:tcPr>
          <w:p>
            <w:r>
              <w:rPr>
                <w:rFonts w:ascii="Calibri" w:hAnsi="Calibri"/>
                <w:sz w:val="22"/>
              </w:rPr>
              <w:t>~−74% below FY guide (back-half weighted)</w:t>
            </w:r>
          </w:p>
        </w:tc>
      </w:tr>
      <w:tr>
        <w:tc>
          <w:tcPr>
            <w:tcW w:type="dxa" w:w="1234"/>
          </w:tcPr>
          <w:p>
            <w:r>
              <w:rPr>
                <w:rFonts w:ascii="Calibri" w:hAnsi="Calibri"/>
                <w:sz w:val="22"/>
              </w:rPr>
              <w:t>Book-to-Bill (x)</w:t>
            </w:r>
          </w:p>
        </w:tc>
        <w:tc>
          <w:tcPr>
            <w:tcW w:type="dxa" w:w="1234"/>
          </w:tcPr>
          <w:p>
            <w:r>
              <w:rPr>
                <w:rFonts w:ascii="Calibri" w:hAnsi="Calibri"/>
                <w:sz w:val="22"/>
              </w:rPr>
              <w:t>1.29x</w:t>
            </w:r>
          </w:p>
        </w:tc>
        <w:tc>
          <w:tcPr>
            <w:tcW w:type="dxa" w:w="1234"/>
          </w:tcPr>
          <w:p>
            <w:r>
              <w:rPr>
                <w:rFonts w:ascii="Calibri" w:hAnsi="Calibri"/>
                <w:sz w:val="22"/>
              </w:rPr>
              <w:t>1.50x</w:t>
            </w:r>
          </w:p>
        </w:tc>
        <w:tc>
          <w:tcPr>
            <w:tcW w:type="dxa" w:w="1234"/>
          </w:tcPr>
          <w:p>
            <w:r>
              <w:rPr>
                <w:rFonts w:ascii="Calibri" w:hAnsi="Calibri"/>
                <w:sz w:val="22"/>
              </w:rPr>
              <w:t>1.11x (consensus)</w:t>
            </w:r>
          </w:p>
        </w:tc>
        <w:tc>
          <w:tcPr>
            <w:tcW w:type="dxa" w:w="1234"/>
          </w:tcPr>
          <w:p>
            <w:r>
              <w:rPr>
                <w:rFonts w:ascii="Calibri" w:hAnsi="Calibri"/>
                <w:sz w:val="22"/>
              </w:rPr>
              <w:t>−39 bps YoY</w:t>
            </w:r>
          </w:p>
        </w:tc>
        <w:tc>
          <w:tcPr>
            <w:tcW w:type="dxa" w:w="1234"/>
          </w:tcPr>
          <w:p>
            <w:r>
              <w:rPr>
                <w:rFonts w:ascii="Calibri" w:hAnsi="Calibri"/>
                <w:sz w:val="22"/>
              </w:rPr>
              <w:t>N/A (no formal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L3Harris Q1 2026 Earnings Call (April 30, 2026). Segment operating margin consensus from VA EBIT margin — Operating(%). Free cash flow consensus from VA. Book-to-bill consensus from VA. Note: LHX transitioned to GAAP-only EPS reporting in 2026; operating EPS shown for comparability.</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Revenue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$5.744B</w:t>
            </w:r>
          </w:p>
        </w:tc>
        <w:tc>
          <w:tcPr>
            <w:tcW w:type="dxa" w:w="1728"/>
          </w:tcPr>
          <w:p>
            <w:r>
              <w:rPr>
                <w:rFonts w:ascii="Calibri" w:hAnsi="Calibri"/>
                <w:sz w:val="22"/>
              </w:rPr>
              <w:t>$5.414B</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$5.648B</w:t>
            </w:r>
          </w:p>
        </w:tc>
        <w:tc>
          <w:tcPr>
            <w:tcW w:type="dxa" w:w="1728"/>
          </w:tcPr>
          <w:p>
            <w:r>
              <w:rPr>
                <w:rFonts w:ascii="Calibri" w:hAnsi="Calibri"/>
                <w:sz w:val="22"/>
              </w:rPr>
              <w:t>$5.773B</w:t>
            </w:r>
          </w:p>
        </w:tc>
        <w:tc>
          <w:tcPr>
            <w:tcW w:type="dxa" w:w="1728"/>
          </w:tcPr>
          <w:p>
            <w:r>
              <w:rPr>
                <w:rFonts w:ascii="Calibri" w:hAnsi="Calibri"/>
                <w:b/>
                <w:color w:val="E5484D"/>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$5.659B</w:t>
            </w:r>
          </w:p>
        </w:tc>
        <w:tc>
          <w:tcPr>
            <w:tcW w:type="dxa" w:w="1728"/>
          </w:tcPr>
          <w:p>
            <w:r>
              <w:rPr>
                <w:rFonts w:ascii="Calibri" w:hAnsi="Calibri"/>
                <w:sz w:val="22"/>
              </w:rPr>
              <w:t>$5.528B</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$5.426B</w:t>
            </w:r>
          </w:p>
        </w:tc>
        <w:tc>
          <w:tcPr>
            <w:tcW w:type="dxa" w:w="1728"/>
          </w:tcPr>
          <w:p>
            <w:r>
              <w:rPr>
                <w:rFonts w:ascii="Calibri" w:hAnsi="Calibri"/>
                <w:sz w:val="22"/>
              </w:rPr>
              <w:t>$5.309B</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$5.132B</w:t>
            </w:r>
          </w:p>
        </w:tc>
        <w:tc>
          <w:tcPr>
            <w:tcW w:type="dxa" w:w="1728"/>
          </w:tcPr>
          <w:p>
            <w:r>
              <w:rPr>
                <w:rFonts w:ascii="Calibri" w:hAnsi="Calibri"/>
                <w:sz w:val="22"/>
              </w:rPr>
              <w:t>$5.218B</w:t>
            </w:r>
          </w:p>
        </w:tc>
        <w:tc>
          <w:tcPr>
            <w:tcW w:type="dxa" w:w="1728"/>
          </w:tcPr>
          <w:p>
            <w:r>
              <w:rPr>
                <w:rFonts w:ascii="Calibri" w:hAnsi="Calibri"/>
                <w:b/>
                <w:color w:val="E5484D"/>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$5.523B</w:t>
            </w:r>
          </w:p>
        </w:tc>
        <w:tc>
          <w:tcPr>
            <w:tcW w:type="dxa" w:w="1728"/>
          </w:tcPr>
          <w:p>
            <w:r>
              <w:rPr>
                <w:rFonts w:ascii="Calibri" w:hAnsi="Calibri"/>
                <w:sz w:val="22"/>
              </w:rPr>
              <w:t>$5.496B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$5.292B</w:t>
            </w:r>
          </w:p>
        </w:tc>
        <w:tc>
          <w:tcPr>
            <w:tcW w:type="dxa" w:w="1728"/>
          </w:tcPr>
          <w:p>
            <w:r>
              <w:rPr>
                <w:rFonts w:ascii="Calibri" w:hAnsi="Calibri"/>
                <w:sz w:val="22"/>
              </w:rPr>
              <w:t>$5.292B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$5.299B</w:t>
            </w:r>
          </w:p>
        </w:tc>
        <w:tc>
          <w:tcPr>
            <w:tcW w:type="dxa" w:w="1728"/>
          </w:tcPr>
          <w:p>
            <w:r>
              <w:rPr>
                <w:rFonts w:ascii="Calibri" w:hAnsi="Calibri"/>
                <w:sz w:val="22"/>
              </w:rPr>
              <w:t>$5.294B</w:t>
            </w:r>
          </w:p>
        </w:tc>
        <w:tc>
          <w:tcPr>
            <w:tcW w:type="dxa" w:w="1728"/>
          </w:tcPr>
          <w:p>
            <w:r>
              <w:rPr>
                <w:rFonts w:ascii="Calibri" w:hAnsi="Calibri"/>
                <w:sz w:val="22"/>
              </w:rPr>
              <w:t>+0.1%</w:t>
            </w:r>
          </w:p>
        </w:tc>
        <w:tc>
          <w:tcPr>
            <w:tcW w:type="dxa" w:w="1728"/>
          </w:tcPr>
          <w:p>
            <w:r>
              <w:rPr>
                <w:rFonts w:ascii="Calibri" w:hAnsi="Calibri"/>
                <w:sz w:val="22"/>
              </w:rPr>
              <w:t>In-Line</w:t>
            </w:r>
          </w:p>
        </w:tc>
      </w:tr>
    </w:tbl>
    <w:p>
      <w:pPr>
        <w:pStyle w:val="Heading4"/>
      </w:pPr>
      <w:r>
        <w:rPr>
          <w:rFonts w:ascii="Calibri" w:hAnsi="Calibri"/>
          <w:b/>
          <w:color w:val="3B4259"/>
          <w:sz w:val="22"/>
        </w:rPr>
        <w:t>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+15.0%</w:t>
            </w:r>
          </w:p>
        </w:tc>
        <w:tc>
          <w:tcPr>
            <w:tcW w:type="dxa" w:w="1728"/>
          </w:tcPr>
          <w:p>
            <w:r>
              <w:rPr>
                <w:rFonts w:ascii="Calibri" w:hAnsi="Calibri"/>
                <w:sz w:val="22"/>
              </w:rPr>
              <w:t>+7.3%</w:t>
            </w:r>
          </w:p>
        </w:tc>
        <w:tc>
          <w:tcPr>
            <w:tcW w:type="dxa" w:w="1728"/>
          </w:tcPr>
          <w:p>
            <w:r>
              <w:rPr>
                <w:rFonts w:ascii="Calibri" w:hAnsi="Calibri"/>
                <w:b/>
                <w:color w:val="30A46C"/>
                <w:sz w:val="22"/>
              </w:rPr>
              <w:t>+775 bps</w:t>
            </w:r>
          </w:p>
        </w:tc>
        <w:tc>
          <w:tcPr>
            <w:tcW w:type="dxa" w:w="1728"/>
          </w:tcPr>
          <w:p>
            <w:r>
              <w:rPr>
                <w:rFonts w:ascii="Calibri" w:hAnsi="Calibri"/>
                <w:b/>
                <w:color w:val="30A46C"/>
                <w:sz w:val="22"/>
              </w:rPr>
              <w:t>Massive Beat</w:t>
            </w:r>
          </w:p>
        </w:tc>
      </w:tr>
      <w:tr>
        <w:tc>
          <w:tcPr>
            <w:tcW w:type="dxa" w:w="1728"/>
          </w:tcPr>
          <w:p>
            <w:r>
              <w:rPr>
                <w:rFonts w:ascii="Calibri" w:hAnsi="Calibri"/>
                <w:sz w:val="22"/>
              </w:rPr>
              <w:t>Q4 2025</w:t>
            </w:r>
          </w:p>
        </w:tc>
        <w:tc>
          <w:tcPr>
            <w:tcW w:type="dxa" w:w="1728"/>
          </w:tcPr>
          <w:p>
            <w:r>
              <w:rPr>
                <w:rFonts w:ascii="Calibri" w:hAnsi="Calibri"/>
                <w:sz w:val="22"/>
              </w:rPr>
              <w:t>+5.7%</w:t>
            </w:r>
          </w:p>
        </w:tc>
        <w:tc>
          <w:tcPr>
            <w:tcW w:type="dxa" w:w="1728"/>
          </w:tcPr>
          <w:p>
            <w:r>
              <w:rPr>
                <w:rFonts w:ascii="Calibri" w:hAnsi="Calibri"/>
                <w:sz w:val="22"/>
              </w:rPr>
              <w:t>+7.8%</w:t>
            </w:r>
          </w:p>
        </w:tc>
        <w:tc>
          <w:tcPr>
            <w:tcW w:type="dxa" w:w="1728"/>
          </w:tcPr>
          <w:p>
            <w:r>
              <w:rPr>
                <w:rFonts w:ascii="Calibri" w:hAnsi="Calibri"/>
                <w:b/>
                <w:color w:val="E5484D"/>
                <w:sz w:val="22"/>
              </w:rPr>
              <w:t>−210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+10.3%</w:t>
            </w:r>
          </w:p>
        </w:tc>
        <w:tc>
          <w:tcPr>
            <w:tcW w:type="dxa" w:w="1728"/>
          </w:tcPr>
          <w:p>
            <w:r>
              <w:rPr>
                <w:rFonts w:ascii="Calibri" w:hAnsi="Calibri"/>
                <w:sz w:val="22"/>
              </w:rPr>
              <w:t>+7.5%</w:t>
            </w:r>
          </w:p>
        </w:tc>
        <w:tc>
          <w:tcPr>
            <w:tcW w:type="dxa" w:w="1728"/>
          </w:tcPr>
          <w:p>
            <w:r>
              <w:rPr>
                <w:rFonts w:ascii="Calibri" w:hAnsi="Calibri"/>
                <w:b/>
                <w:color w:val="30A46C"/>
                <w:sz w:val="22"/>
              </w:rPr>
              <w:t>+280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+6.0%</w:t>
            </w:r>
          </w:p>
        </w:tc>
        <w:tc>
          <w:tcPr>
            <w:tcW w:type="dxa" w:w="1728"/>
          </w:tcPr>
          <w:p>
            <w:r>
              <w:rPr>
                <w:rFonts w:ascii="Calibri" w:hAnsi="Calibri"/>
                <w:sz w:val="22"/>
              </w:rPr>
              <w:t>+2.4%</w:t>
            </w:r>
          </w:p>
        </w:tc>
        <w:tc>
          <w:tcPr>
            <w:tcW w:type="dxa" w:w="1728"/>
          </w:tcPr>
          <w:p>
            <w:r>
              <w:rPr>
                <w:rFonts w:ascii="Calibri" w:hAnsi="Calibri"/>
                <w:b/>
                <w:color w:val="30A46C"/>
                <w:sz w:val="22"/>
              </w:rPr>
              <w:t>+360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−0.5%</w:t>
            </w:r>
          </w:p>
        </w:tc>
        <w:tc>
          <w:tcPr>
            <w:tcW w:type="dxa" w:w="1728"/>
          </w:tcPr>
          <w:p>
            <w:r>
              <w:rPr>
                <w:rFonts w:ascii="Calibri" w:hAnsi="Calibri"/>
                <w:sz w:val="22"/>
              </w:rPr>
              <w:t>−0.5%</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+4.0%</w:t>
            </w:r>
          </w:p>
        </w:tc>
        <w:tc>
          <w:tcPr>
            <w:tcW w:type="dxa" w:w="1728"/>
          </w:tcPr>
          <w:p>
            <w:r>
              <w:rPr>
                <w:rFonts w:ascii="Calibri" w:hAnsi="Calibri"/>
                <w:sz w:val="22"/>
              </w:rPr>
              <w:t>+4.0%</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+4.7%</w:t>
            </w:r>
          </w:p>
        </w:tc>
        <w:tc>
          <w:tcPr>
            <w:tcW w:type="dxa" w:w="1728"/>
          </w:tcPr>
          <w:p>
            <w:r>
              <w:rPr>
                <w:rFonts w:ascii="Calibri" w:hAnsi="Calibri"/>
                <w:sz w:val="22"/>
              </w:rPr>
              <w:t>+5.5%</w:t>
            </w:r>
          </w:p>
        </w:tc>
        <w:tc>
          <w:tcPr>
            <w:tcW w:type="dxa" w:w="1728"/>
          </w:tcPr>
          <w:p>
            <w:r>
              <w:rPr>
                <w:rFonts w:ascii="Calibri" w:hAnsi="Calibri"/>
                <w:b/>
                <w:color w:val="E5484D"/>
                <w:sz w:val="22"/>
              </w:rPr>
              <w:t>−80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−0.1%</w:t>
            </w:r>
          </w:p>
        </w:tc>
        <w:tc>
          <w:tcPr>
            <w:tcW w:type="dxa" w:w="1728"/>
          </w:tcPr>
          <w:p>
            <w:r>
              <w:rPr>
                <w:rFonts w:ascii="Calibri" w:hAnsi="Calibri"/>
                <w:sz w:val="22"/>
              </w:rPr>
              <w:t>+3.0%</w:t>
            </w:r>
          </w:p>
        </w:tc>
        <w:tc>
          <w:tcPr>
            <w:tcW w:type="dxa" w:w="1728"/>
          </w:tcPr>
          <w:p>
            <w:r>
              <w:rPr>
                <w:rFonts w:ascii="Calibri" w:hAnsi="Calibri"/>
                <w:b/>
                <w:color w:val="E5484D"/>
                <w:sz w:val="22"/>
              </w:rPr>
              <w:t>−310 bps</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LHX has beaten revenue consensus in 5 of the last 8 quarters, with the magnitude of beats accelerating sharply — the Q1 2026 organic growth beat of +775 bps was the largest in the series. The two misses (Q4 2025 and Q2 2024) were both driven by timing/mix rather than demand weakness, and the trend since Q2 2025 has been consistent outperformance. This history supports a constructive setup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selectively raised</w:t>
      </w:r>
      <w:r>
        <w:rPr>
          <w:rFonts w:ascii="Calibri" w:hAnsi="Calibri"/>
          <w:color w:val="525866"/>
          <w:sz w:val="22"/>
        </w:rPr>
        <w:t xml:space="preserve"> since Q1 earnings — EPS guidance was lifted $0.10 on both ends while revenue guidance was held flat, a deliberate signal of conservatism from a new CFO 45 days into the job. Tone is </w:t>
      </w:r>
      <w:r>
        <w:rPr>
          <w:rFonts w:ascii="Calibri" w:hAnsi="Calibri"/>
          <w:b/>
          <w:color w:val="525866"/>
          <w:sz w:val="22"/>
        </w:rPr>
        <w:t>unambiguously bullish</w:t>
      </w:r>
      <w:r>
        <w:rPr>
          <w:rFonts w:ascii="Calibri" w:hAnsi="Calibri"/>
          <w:color w:val="525866"/>
          <w:sz w:val="22"/>
        </w:rPr>
        <w:t xml:space="preserve"> on demand, with management framing the current environment as a “once-in-a-lifetime opportunity.”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$23.0B – $23.5B (7% organic at midpoint)</w:t>
            </w:r>
          </w:p>
        </w:tc>
        <w:tc>
          <w:tcPr>
            <w:tcW w:type="dxa" w:w="1728"/>
          </w:tcPr>
          <w:p>
            <w:r>
              <w:rPr>
                <w:rFonts w:ascii="Calibri" w:hAnsi="Calibri"/>
                <w:sz w:val="22"/>
              </w:rPr>
              <w:t>—</w:t>
            </w:r>
          </w:p>
        </w:tc>
        <w:tc>
          <w:tcPr>
            <w:tcW w:type="dxa" w:w="1728"/>
          </w:tcPr>
          <w:p>
            <w:r>
              <w:rPr>
                <w:rFonts w:ascii="Calibri" w:hAnsi="Calibri"/>
                <w:sz w:val="22"/>
              </w:rPr>
              <w:t>$23.61B</w:t>
            </w:r>
          </w:p>
        </w:tc>
        <w:tc>
          <w:tcPr>
            <w:tcW w:type="dxa" w:w="1728"/>
          </w:tcPr>
          <w:p>
            <w:r>
              <w:rPr>
                <w:rFonts w:ascii="Calibri" w:hAnsi="Calibri"/>
                <w:sz w:val="22"/>
              </w:rPr>
              <w:t>Reaffirmed; CFO signaled conservatism; consensus sits at high end of range</w:t>
            </w:r>
          </w:p>
        </w:tc>
      </w:tr>
      <w:tr>
        <w:tc>
          <w:tcPr>
            <w:tcW w:type="dxa" w:w="1728"/>
          </w:tcPr>
          <w:p>
            <w:r>
              <w:rPr>
                <w:rFonts w:ascii="Calibri" w:hAnsi="Calibri"/>
                <w:sz w:val="22"/>
              </w:rPr>
              <w:t>FY 2026 GAAP EPS</w:t>
            </w:r>
          </w:p>
        </w:tc>
        <w:tc>
          <w:tcPr>
            <w:tcW w:type="dxa" w:w="1728"/>
          </w:tcPr>
          <w:p>
            <w:r>
              <w:rPr>
                <w:rFonts w:ascii="Calibri" w:hAnsi="Calibri"/>
                <w:sz w:val="22"/>
              </w:rPr>
              <w:t>$11.40 – $11.60 (raised $0.10 on each end at Q1)</w:t>
            </w:r>
          </w:p>
        </w:tc>
        <w:tc>
          <w:tcPr>
            <w:tcW w:type="dxa" w:w="1728"/>
          </w:tcPr>
          <w:p>
            <w:r>
              <w:rPr>
                <w:rFonts w:ascii="Calibri" w:hAnsi="Calibri"/>
                <w:sz w:val="22"/>
              </w:rPr>
              <w:t>—</w:t>
            </w:r>
          </w:p>
        </w:tc>
        <w:tc>
          <w:tcPr>
            <w:tcW w:type="dxa" w:w="1728"/>
          </w:tcPr>
          <w:p>
            <w:r>
              <w:rPr>
                <w:rFonts w:ascii="Calibri" w:hAnsi="Calibri"/>
                <w:sz w:val="22"/>
              </w:rPr>
              <w:t>$11.59</w:t>
            </w:r>
          </w:p>
        </w:tc>
        <w:tc>
          <w:tcPr>
            <w:tcW w:type="dxa" w:w="1728"/>
          </w:tcPr>
          <w:p>
            <w:r>
              <w:rPr>
                <w:rFonts w:ascii="Calibri" w:hAnsi="Calibri"/>
                <w:sz w:val="22"/>
              </w:rPr>
              <w:t>↑ Raised at Q1 earnings; consensus near top of range; further raise likely if Q2 beats</w:t>
            </w:r>
          </w:p>
        </w:tc>
      </w:tr>
      <w:tr>
        <w:tc>
          <w:tcPr>
            <w:tcW w:type="dxa" w:w="1728"/>
          </w:tcPr>
          <w:p>
            <w:r>
              <w:rPr>
                <w:rFonts w:ascii="Calibri" w:hAnsi="Calibri"/>
                <w:sz w:val="22"/>
              </w:rPr>
              <w:t>FY 2026 Segment Operating Margin</w:t>
            </w:r>
          </w:p>
        </w:tc>
        <w:tc>
          <w:tcPr>
            <w:tcW w:type="dxa" w:w="1728"/>
          </w:tcPr>
          <w:p>
            <w:r>
              <w:rPr>
                <w:rFonts w:ascii="Calibri" w:hAnsi="Calibri"/>
                <w:sz w:val="22"/>
              </w:rPr>
              <w:t>Low 16%</w:t>
            </w:r>
          </w:p>
        </w:tc>
        <w:tc>
          <w:tcPr>
            <w:tcW w:type="dxa" w:w="1728"/>
          </w:tcPr>
          <w:p>
            <w:r>
              <w:rPr>
                <w:rFonts w:ascii="Calibri" w:hAnsi="Calibri"/>
                <w:sz w:val="22"/>
              </w:rPr>
              <w:t>—</w:t>
            </w:r>
          </w:p>
        </w:tc>
        <w:tc>
          <w:tcPr>
            <w:tcW w:type="dxa" w:w="1728"/>
          </w:tcPr>
          <w:p>
            <w:r>
              <w:rPr>
                <w:rFonts w:ascii="Calibri" w:hAnsi="Calibri"/>
                <w:sz w:val="22"/>
              </w:rPr>
              <w:t>~14.6%</w:t>
            </w:r>
          </w:p>
        </w:tc>
        <w:tc>
          <w:tcPr>
            <w:tcW w:type="dxa" w:w="1728"/>
          </w:tcPr>
          <w:p>
            <w:r>
              <w:rPr>
                <w:rFonts w:ascii="Calibri" w:hAnsi="Calibri"/>
                <w:sz w:val="22"/>
              </w:rPr>
              <w:t>Reaffirmed; consensus below guide — reflects mix shift toward lower-margin missile capacity build</w:t>
            </w:r>
          </w:p>
        </w:tc>
      </w:tr>
      <w:tr>
        <w:tc>
          <w:tcPr>
            <w:tcW w:type="dxa" w:w="1728"/>
          </w:tcPr>
          <w:p>
            <w:r>
              <w:rPr>
                <w:rFonts w:ascii="Calibri" w:hAnsi="Calibri"/>
                <w:sz w:val="22"/>
              </w:rPr>
              <w:t>FY 2026 Free Cash Flow</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$2.94B</w:t>
            </w:r>
          </w:p>
        </w:tc>
        <w:tc>
          <w:tcPr>
            <w:tcW w:type="dxa" w:w="1728"/>
          </w:tcPr>
          <w:p>
            <w:r>
              <w:rPr>
                <w:rFonts w:ascii="Calibri" w:hAnsi="Calibri"/>
                <w:sz w:val="22"/>
              </w:rPr>
              <w:t>Reaffirmed; back-half weighted; Q1 was −$194M; consensus slightly below guide</w:t>
            </w:r>
          </w:p>
        </w:tc>
      </w:tr>
      <w:tr>
        <w:tc>
          <w:tcPr>
            <w:tcW w:type="dxa" w:w="1728"/>
          </w:tcPr>
          <w:p>
            <w:r>
              <w:rPr>
                <w:rFonts w:ascii="Calibri" w:hAnsi="Calibri"/>
                <w:sz w:val="22"/>
              </w:rPr>
              <w:t>Book-to-Bill (FY 2026)</w:t>
            </w:r>
          </w:p>
        </w:tc>
        <w:tc>
          <w:tcPr>
            <w:tcW w:type="dxa" w:w="1728"/>
          </w:tcPr>
          <w:p>
            <w:r>
              <w:rPr>
                <w:rFonts w:ascii="Calibri" w:hAnsi="Calibri"/>
                <w:sz w:val="22"/>
              </w:rPr>
              <w:t>No formal guide; Q1 actual 1.4x; international 2.2x</w:t>
            </w:r>
          </w:p>
        </w:tc>
        <w:tc>
          <w:tcPr>
            <w:tcW w:type="dxa" w:w="1728"/>
          </w:tcPr>
          <w:p>
            <w:r>
              <w:rPr>
                <w:rFonts w:ascii="Calibri" w:hAnsi="Calibri"/>
                <w:sz w:val="22"/>
              </w:rPr>
              <w:t>—</w:t>
            </w:r>
          </w:p>
        </w:tc>
        <w:tc>
          <w:tcPr>
            <w:tcW w:type="dxa" w:w="1728"/>
          </w:tcPr>
          <w:p>
            <w:r>
              <w:rPr>
                <w:rFonts w:ascii="Calibri" w:hAnsi="Calibri"/>
                <w:sz w:val="22"/>
              </w:rPr>
              <w:t>1.11x (consensus)</w:t>
            </w:r>
          </w:p>
        </w:tc>
        <w:tc>
          <w:tcPr>
            <w:tcW w:type="dxa" w:w="1728"/>
          </w:tcPr>
          <w:p>
            <w:r>
              <w:rPr>
                <w:rFonts w:ascii="Calibri" w:hAnsi="Calibri"/>
                <w:sz w:val="22"/>
              </w:rPr>
              <w:t>No formal guidance; management commentary implies sustained above-1.0x; $25B MAC not yet in backlog</w:t>
            </w:r>
          </w:p>
        </w:tc>
      </w:tr>
      <w:tr>
        <w:tc>
          <w:tcPr>
            <w:tcW w:type="dxa" w:w="1728"/>
          </w:tcPr>
          <w:p>
            <w:r>
              <w:rPr>
                <w:rFonts w:ascii="Calibri" w:hAnsi="Calibri"/>
                <w:sz w:val="22"/>
              </w:rPr>
              <w:t>Missile Solutions IPO (AXYV)</w:t>
            </w:r>
          </w:p>
        </w:tc>
        <w:tc>
          <w:tcPr>
            <w:tcW w:type="dxa" w:w="1728"/>
          </w:tcPr>
          <w:p>
            <w:r>
              <w:rPr>
                <w:rFonts w:ascii="Calibri" w:hAnsi="Calibri"/>
                <w:sz w:val="22"/>
              </w:rPr>
              <w:t>Confidential S-1 filed Apr 30; DoW $1B investment closed</w:t>
            </w:r>
          </w:p>
        </w:tc>
        <w:tc>
          <w:tcPr>
            <w:tcW w:type="dxa" w:w="1728"/>
          </w:tcPr>
          <w:p>
            <w:r>
              <w:rPr>
                <w:rFonts w:ascii="Calibri" w:hAnsi="Calibri"/>
                <w:sz w:val="22"/>
              </w:rPr>
              <w:t>JPMorgan &amp; Morgan Stanley selected as lead underwriters (Jun 16); up to ~$2B raise; listing possible as soon as July</w:t>
            </w:r>
          </w:p>
        </w:tc>
        <w:tc>
          <w:tcPr>
            <w:tcW w:type="dxa" w:w="1728"/>
          </w:tcPr>
          <w:p>
            <w:r>
              <w:rPr>
                <w:rFonts w:ascii="Calibri" w:hAnsi="Calibri"/>
                <w:sz w:val="22"/>
              </w:rPr>
              <w:t>N/A</w:t>
            </w:r>
          </w:p>
        </w:tc>
        <w:tc>
          <w:tcPr>
            <w:tcW w:type="dxa" w:w="1728"/>
          </w:tcPr>
          <w:p>
            <w:r>
              <w:rPr>
                <w:rFonts w:ascii="Calibri" w:hAnsi="Calibri"/>
                <w:sz w:val="22"/>
              </w:rPr>
              <w:t>↑ Progressing; IPO timeline is a key catalyst; guidance does not yet reflect IPO impact</w:t>
            </w:r>
          </w:p>
        </w:tc>
      </w:tr>
    </w:tbl>
    <w:p>
      <w:r>
        <w:rPr>
          <w:rFonts w:ascii="Calibri" w:hAnsi="Calibri"/>
          <w:i/>
          <w:color w:val="525866"/>
          <w:sz w:val="22"/>
        </w:rPr>
        <w:t>Sources: L3Harris Q1 2026 Earnings Call (April 30, 2026); Bloomberg / Perplexity (June 16, 2026 — AXYV IPO bank selection);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modestly higher</w:t>
      </w:r>
      <w:r>
        <w:rPr>
          <w:rFonts w:ascii="Calibri" w:hAnsi="Calibri"/>
          <w:color w:val="525866"/>
          <w:sz w:val="22"/>
        </w:rPr>
        <w:t xml:space="preserve"> since the Q1 print — Q2 revenue consensus is up ~$43M (+0.7%) and operating EPS is essentially flat — suggesting the Street has not aggressively chased the Q1 beat. The gap between the 7% full-year organic growth guide and the 15% Q1 actual represents </w:t>
      </w:r>
      <w:r>
        <w:rPr>
          <w:rFonts w:ascii="Calibri" w:hAnsi="Calibri"/>
          <w:b/>
          <w:color w:val="525866"/>
          <w:sz w:val="22"/>
        </w:rPr>
        <w:t>meaningful cushion</w:t>
      </w:r>
      <w:r>
        <w:rPr>
          <w:rFonts w:ascii="Calibri" w:hAnsi="Calibri"/>
          <w:color w:val="525866"/>
          <w:sz w:val="22"/>
        </w:rPr>
        <w:t xml:space="preserve"> if demand sustains, and any guidance raise on the Q2 call would be a positive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$5.782B</w:t>
            </w:r>
          </w:p>
        </w:tc>
        <w:tc>
          <w:tcPr>
            <w:tcW w:type="dxa" w:w="1080"/>
          </w:tcPr>
          <w:p>
            <w:r>
              <w:rPr>
                <w:rFonts w:ascii="Calibri" w:hAnsi="Calibri"/>
                <w:sz w:val="22"/>
              </w:rPr>
              <w:t>$5.825B</w:t>
            </w:r>
          </w:p>
        </w:tc>
        <w:tc>
          <w:tcPr>
            <w:tcW w:type="dxa" w:w="1080"/>
          </w:tcPr>
          <w:p>
            <w:r>
              <w:rPr>
                <w:rFonts w:ascii="Calibri" w:hAnsi="Calibri"/>
                <w:sz w:val="22"/>
              </w:rPr>
              <w:t>+0.7%</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$23.619B</w:t>
            </w:r>
          </w:p>
        </w:tc>
        <w:tc>
          <w:tcPr>
            <w:tcW w:type="dxa" w:w="1080"/>
          </w:tcPr>
          <w:p>
            <w:r>
              <w:rPr>
                <w:rFonts w:ascii="Calibri" w:hAnsi="Calibri"/>
                <w:sz w:val="22"/>
              </w:rPr>
              <w:t>$23.606B</w:t>
            </w:r>
          </w:p>
        </w:tc>
        <w:tc>
          <w:tcPr>
            <w:tcW w:type="dxa" w:w="1080"/>
          </w:tcPr>
          <w:p>
            <w:r>
              <w:rPr>
                <w:rFonts w:ascii="Calibri" w:hAnsi="Calibri"/>
                <w:sz w:val="22"/>
              </w:rPr>
              <w:t>−0.1%</w:t>
            </w:r>
          </w:p>
        </w:tc>
        <w:tc>
          <w:tcPr>
            <w:tcW w:type="dxa" w:w="1080"/>
          </w:tcPr>
          <w:p>
            <w:r>
              <w:rPr>
                <w:rFonts w:ascii="Calibri" w:hAnsi="Calibri"/>
                <w:sz w:val="22"/>
              </w:rPr>
              <w:t>$23.0B–$23.5B</w:t>
            </w:r>
          </w:p>
        </w:tc>
        <w:tc>
          <w:tcPr>
            <w:tcW w:type="dxa" w:w="1080"/>
          </w:tcPr>
          <w:p>
            <w:r>
              <w:rPr>
                <w:rFonts w:ascii="Calibri" w:hAnsi="Calibri"/>
                <w:sz w:val="22"/>
              </w:rPr>
              <w:t>$23.0B–$23.5B (unchanged)</w:t>
            </w:r>
          </w:p>
        </w:tc>
        <w:tc>
          <w:tcPr>
            <w:tcW w:type="dxa" w:w="1080"/>
          </w:tcPr>
          <w:p>
            <w:r>
              <w:rPr>
                <w:rFonts w:ascii="Calibri" w:hAnsi="Calibri"/>
                <w:sz w:val="22"/>
              </w:rPr>
              <w:t>Unchanged</w:t>
            </w:r>
          </w:p>
        </w:tc>
        <w:tc>
          <w:tcPr>
            <w:tcW w:type="dxa" w:w="1080"/>
          </w:tcPr>
          <w:p>
            <w:r>
              <w:rPr>
                <w:rFonts w:ascii="Calibri" w:hAnsi="Calibri"/>
                <w:sz w:val="22"/>
              </w:rPr>
              <w:t>+0.5% above midpoint</w:t>
            </w:r>
          </w:p>
        </w:tc>
      </w:tr>
      <w:tr>
        <w:tc>
          <w:tcPr>
            <w:tcW w:type="dxa" w:w="1080"/>
          </w:tcPr>
          <w:p>
            <w:r>
              <w:rPr>
                <w:rFonts w:ascii="Calibri" w:hAnsi="Calibri"/>
                <w:sz w:val="22"/>
              </w:rPr>
              <w:t>Organic Growth % — Q2 2026</w:t>
            </w:r>
          </w:p>
        </w:tc>
        <w:tc>
          <w:tcPr>
            <w:tcW w:type="dxa" w:w="1080"/>
          </w:tcPr>
          <w:p>
            <w:r>
              <w:rPr>
                <w:rFonts w:ascii="Calibri" w:hAnsi="Calibri"/>
                <w:sz w:val="22"/>
              </w:rPr>
              <w:t>+7.3%</w:t>
            </w:r>
          </w:p>
        </w:tc>
        <w:tc>
          <w:tcPr>
            <w:tcW w:type="dxa" w:w="1080"/>
          </w:tcPr>
          <w:p>
            <w:r>
              <w:rPr>
                <w:rFonts w:ascii="Calibri" w:hAnsi="Calibri"/>
                <w:sz w:val="22"/>
              </w:rPr>
              <w:t>+7.4%</w:t>
            </w:r>
          </w:p>
        </w:tc>
        <w:tc>
          <w:tcPr>
            <w:tcW w:type="dxa" w:w="1080"/>
          </w:tcPr>
          <w:p>
            <w:r>
              <w:rPr>
                <w:rFonts w:ascii="Calibri" w:hAnsi="Calibri"/>
                <w:sz w:val="22"/>
              </w:rPr>
              <w:t>+10 bps</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Growth % — FY 2026</w:t>
            </w:r>
          </w:p>
        </w:tc>
        <w:tc>
          <w:tcPr>
            <w:tcW w:type="dxa" w:w="1080"/>
          </w:tcPr>
          <w:p>
            <w:r>
              <w:rPr>
                <w:rFonts w:ascii="Calibri" w:hAnsi="Calibri"/>
                <w:sz w:val="22"/>
              </w:rPr>
              <w:t>+9.1%</w:t>
            </w:r>
          </w:p>
        </w:tc>
        <w:tc>
          <w:tcPr>
            <w:tcW w:type="dxa" w:w="1080"/>
          </w:tcPr>
          <w:p>
            <w:r>
              <w:rPr>
                <w:rFonts w:ascii="Calibri" w:hAnsi="Calibri"/>
                <w:sz w:val="22"/>
              </w:rPr>
              <w:t>+8.8%</w:t>
            </w:r>
          </w:p>
        </w:tc>
        <w:tc>
          <w:tcPr>
            <w:tcW w:type="dxa" w:w="1080"/>
          </w:tcPr>
          <w:p>
            <w:r>
              <w:rPr>
                <w:rFonts w:ascii="Calibri" w:hAnsi="Calibri"/>
                <w:sz w:val="22"/>
              </w:rPr>
              <w:t>−30 bps</w:t>
            </w:r>
          </w:p>
        </w:tc>
        <w:tc>
          <w:tcPr>
            <w:tcW w:type="dxa" w:w="1080"/>
          </w:tcPr>
          <w:p>
            <w:r>
              <w:rPr>
                <w:rFonts w:ascii="Calibri" w:hAnsi="Calibri"/>
                <w:sz w:val="22"/>
              </w:rPr>
              <w:t>~7% (midpoint)</w:t>
            </w:r>
          </w:p>
        </w:tc>
        <w:tc>
          <w:tcPr>
            <w:tcW w:type="dxa" w:w="1080"/>
          </w:tcPr>
          <w:p>
            <w:r>
              <w:rPr>
                <w:rFonts w:ascii="Calibri" w:hAnsi="Calibri"/>
                <w:sz w:val="22"/>
              </w:rPr>
              <w:t>~7% (unchanged)</w:t>
            </w:r>
          </w:p>
        </w:tc>
        <w:tc>
          <w:tcPr>
            <w:tcW w:type="dxa" w:w="1080"/>
          </w:tcPr>
          <w:p>
            <w:r>
              <w:rPr>
                <w:rFonts w:ascii="Calibri" w:hAnsi="Calibri"/>
                <w:sz w:val="22"/>
              </w:rPr>
              <w:t>Unchanged</w:t>
            </w:r>
          </w:p>
        </w:tc>
        <w:tc>
          <w:tcPr>
            <w:tcW w:type="dxa" w:w="1080"/>
          </w:tcPr>
          <w:p>
            <w:r>
              <w:rPr>
                <w:rFonts w:ascii="Calibri" w:hAnsi="Calibri"/>
                <w:sz w:val="22"/>
              </w:rPr>
              <w:t>+180 bps above guide</w:t>
            </w:r>
          </w:p>
        </w:tc>
      </w:tr>
      <w:tr>
        <w:tc>
          <w:tcPr>
            <w:tcW w:type="dxa" w:w="1080"/>
          </w:tcPr>
          <w:p>
            <w:r>
              <w:rPr>
                <w:rFonts w:ascii="Calibri" w:hAnsi="Calibri"/>
                <w:sz w:val="22"/>
              </w:rPr>
              <w:t>Operating EPS — Q2 2026</w:t>
            </w:r>
          </w:p>
        </w:tc>
        <w:tc>
          <w:tcPr>
            <w:tcW w:type="dxa" w:w="1080"/>
          </w:tcPr>
          <w:p>
            <w:r>
              <w:rPr>
                <w:rFonts w:ascii="Calibri" w:hAnsi="Calibri"/>
                <w:sz w:val="22"/>
              </w:rPr>
              <w:t>$2.851</w:t>
            </w:r>
          </w:p>
        </w:tc>
        <w:tc>
          <w:tcPr>
            <w:tcW w:type="dxa" w:w="1080"/>
          </w:tcPr>
          <w:p>
            <w:r>
              <w:rPr>
                <w:rFonts w:ascii="Calibri" w:hAnsi="Calibri"/>
                <w:sz w:val="22"/>
              </w:rPr>
              <w:t>$2.848</w:t>
            </w:r>
          </w:p>
        </w:tc>
        <w:tc>
          <w:tcPr>
            <w:tcW w:type="dxa" w:w="1080"/>
          </w:tcPr>
          <w:p>
            <w:r>
              <w:rPr>
                <w:rFonts w:ascii="Calibri" w:hAnsi="Calibri"/>
                <w:sz w:val="22"/>
              </w:rPr>
              <w:t>−0.1%</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$11.851</w:t>
            </w:r>
          </w:p>
        </w:tc>
        <w:tc>
          <w:tcPr>
            <w:tcW w:type="dxa" w:w="1080"/>
          </w:tcPr>
          <w:p>
            <w:r>
              <w:rPr>
                <w:rFonts w:ascii="Calibri" w:hAnsi="Calibri"/>
                <w:sz w:val="22"/>
              </w:rPr>
              <w:t>$11.846</w:t>
            </w:r>
          </w:p>
        </w:tc>
        <w:tc>
          <w:tcPr>
            <w:tcW w:type="dxa" w:w="1080"/>
          </w:tcPr>
          <w:p>
            <w:r>
              <w:rPr>
                <w:rFonts w:ascii="Calibri" w:hAnsi="Calibri"/>
                <w:sz w:val="22"/>
              </w:rPr>
              <w:t>−0.0%</w:t>
            </w:r>
          </w:p>
        </w:tc>
        <w:tc>
          <w:tcPr>
            <w:tcW w:type="dxa" w:w="1080"/>
          </w:tcPr>
          <w:p>
            <w:r>
              <w:rPr>
                <w:rFonts w:ascii="Calibri" w:hAnsi="Calibri"/>
                <w:sz w:val="22"/>
              </w:rPr>
              <w:t>$11.40–$11.60 (GAAP)</w:t>
            </w:r>
          </w:p>
        </w:tc>
        <w:tc>
          <w:tcPr>
            <w:tcW w:type="dxa" w:w="1080"/>
          </w:tcPr>
          <w:p>
            <w:r>
              <w:rPr>
                <w:rFonts w:ascii="Calibri" w:hAnsi="Calibri"/>
                <w:sz w:val="22"/>
              </w:rPr>
              <w:t>$11.40–$11.60 (unchanged)</w:t>
            </w:r>
          </w:p>
        </w:tc>
        <w:tc>
          <w:tcPr>
            <w:tcW w:type="dxa" w:w="1080"/>
          </w:tcPr>
          <w:p>
            <w:r>
              <w:rPr>
                <w:rFonts w:ascii="Calibri" w:hAnsi="Calibri"/>
                <w:sz w:val="22"/>
              </w:rPr>
              <w:t>Unchanged</w:t>
            </w:r>
          </w:p>
        </w:tc>
        <w:tc>
          <w:tcPr>
            <w:tcW w:type="dxa" w:w="1080"/>
          </w:tcPr>
          <w:p>
            <w:r>
              <w:rPr>
                <w:rFonts w:ascii="Calibri" w:hAnsi="Calibri"/>
                <w:sz w:val="22"/>
              </w:rPr>
              <w:t>+2.1% above GAAP guide midpoint</w:t>
            </w:r>
          </w:p>
        </w:tc>
      </w:tr>
      <w:tr>
        <w:tc>
          <w:tcPr>
            <w:tcW w:type="dxa" w:w="1080"/>
          </w:tcPr>
          <w:p>
            <w:r>
              <w:rPr>
                <w:rFonts w:ascii="Calibri" w:hAnsi="Calibri"/>
                <w:sz w:val="22"/>
              </w:rPr>
              <w:t>Free Cash Flow — FY 2026</w:t>
            </w:r>
          </w:p>
        </w:tc>
        <w:tc>
          <w:tcPr>
            <w:tcW w:type="dxa" w:w="1080"/>
          </w:tcPr>
          <w:p>
            <w:r>
              <w:rPr>
                <w:rFonts w:ascii="Calibri" w:hAnsi="Calibri"/>
                <w:sz w:val="22"/>
              </w:rPr>
              <w:t>$3.023B</w:t>
            </w:r>
          </w:p>
        </w:tc>
        <w:tc>
          <w:tcPr>
            <w:tcW w:type="dxa" w:w="1080"/>
          </w:tcPr>
          <w:p>
            <w:r>
              <w:rPr>
                <w:rFonts w:ascii="Calibri" w:hAnsi="Calibri"/>
                <w:sz w:val="22"/>
              </w:rPr>
              <w:t>$2.940B</w:t>
            </w:r>
          </w:p>
        </w:tc>
        <w:tc>
          <w:tcPr>
            <w:tcW w:type="dxa" w:w="1080"/>
          </w:tcPr>
          <w:p>
            <w:r>
              <w:rPr>
                <w:rFonts w:ascii="Calibri" w:hAnsi="Calibri"/>
                <w:sz w:val="22"/>
              </w:rPr>
              <w:t>−2.7%</w:t>
            </w:r>
          </w:p>
        </w:tc>
        <w:tc>
          <w:tcPr>
            <w:tcW w:type="dxa" w:w="1080"/>
          </w:tcPr>
          <w:p>
            <w:r>
              <w:rPr>
                <w:rFonts w:ascii="Calibri" w:hAnsi="Calibri"/>
                <w:sz w:val="22"/>
              </w:rPr>
              <w:t>~$3.0B</w:t>
            </w:r>
          </w:p>
        </w:tc>
        <w:tc>
          <w:tcPr>
            <w:tcW w:type="dxa" w:w="1080"/>
          </w:tcPr>
          <w:p>
            <w:r>
              <w:rPr>
                <w:rFonts w:ascii="Calibri" w:hAnsi="Calibri"/>
                <w:sz w:val="22"/>
              </w:rPr>
              <w:t>~$3.0B (unchanged)</w:t>
            </w:r>
          </w:p>
        </w:tc>
        <w:tc>
          <w:tcPr>
            <w:tcW w:type="dxa" w:w="1080"/>
          </w:tcPr>
          <w:p>
            <w:r>
              <w:rPr>
                <w:rFonts w:ascii="Calibri" w:hAnsi="Calibri"/>
                <w:sz w:val="22"/>
              </w:rPr>
              <w:t>Unchanged</w:t>
            </w:r>
          </w:p>
        </w:tc>
        <w:tc>
          <w:tcPr>
            <w:tcW w:type="dxa" w:w="1080"/>
          </w:tcPr>
          <w:p>
            <w:r>
              <w:rPr>
                <w:rFonts w:ascii="Calibri" w:hAnsi="Calibri"/>
                <w:sz w:val="22"/>
              </w:rPr>
              <w:t>−2.0% below guide</w:t>
            </w:r>
          </w:p>
        </w:tc>
      </w:tr>
    </w:tbl>
    <w:p>
      <w:r>
        <w:rPr>
          <w:rFonts w:ascii="Calibri" w:hAnsi="Calibri"/>
          <w:color w:val="525866"/>
          <w:sz w:val="22"/>
        </w:rPr>
        <w:t>The most notable divergence is FY organic growth consensus (+8.8%) running nearly 180 bps above the company’s own 7% guide midpoint — the Street is already embedding some conservatism unwind. FCF estimates have drifted slightly lower post-Q1 (Q1 was −$194M), consistent with management’s back-half weighting commentary. A Q2 revenue beat would likely prompt both estimate upgrades and a guidance raise, which is the key re-rating catalyst.</w:t>
      </w:r>
    </w:p>
    <w:p>
      <w:r>
        <w:rPr>
          <w:rFonts w:ascii="Calibri" w:hAnsi="Calibri"/>
          <w:i/>
          <w:color w:val="525866"/>
          <w:sz w:val="22"/>
        </w:rPr>
        <w:t>Source: Visible Alpha Consensus and Actuals Data (as-of dates: May 5, 2026 and July 28, 2026); L3Harris Q1 2026 Earnings Call.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LHX has </w:t>
      </w:r>
      <w:r>
        <w:rPr>
          <w:rFonts w:ascii="Calibri" w:hAnsi="Calibri"/>
          <w:b/>
          <w:color w:val="525866"/>
          <w:sz w:val="22"/>
        </w:rPr>
        <w:t>significantly underperformed the ITA Aerospace &amp; Defense ETF</w:t>
      </w:r>
      <w:r>
        <w:rPr>
          <w:rFonts w:ascii="Calibri" w:hAnsi="Calibri"/>
          <w:color w:val="525866"/>
          <w:sz w:val="22"/>
        </w:rPr>
        <w:t xml:space="preserve"> since Q1 earnings (LHX −5% vs. ITA +12%), driven by the muted post-earnings reaction, the June 16 AXYV IPO bank selection news (which triggered a ~6% single-day decline on Iran deal / Hormuz reopening headlines), and a mid-July sector rotation. The late-July recovery (+8% from the July 21 trough) coincides with LMT and RTX Q2 beats and the PAC-3/THAAD framework announcements — suggesting sentiment is improving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LHX vs. ITA (iShares U.S. Aerospace &amp; Defense ETF) — Indexed to 100 at Q1 2026 Earnings (Apr 30, 2026). Source: Stock Price Data.</w:t>
      </w:r>
    </w:p>
    <w:p>
      <w:pPr>
        <w:pStyle w:val="ListBullet"/>
        <w:ind w:left="360" w:hanging="360"/>
      </w:pPr>
      <w:r>
        <w:rPr>
          <w:rFonts w:ascii="Calibri" w:hAnsi="Calibri"/>
          <w:b/>
          <w:color w:val="525866"/>
          <w:sz w:val="22"/>
        </w:rPr>
        <w:t xml:space="preserve">Apr 30, 2026 (Q1 Earnings): </w:t>
      </w:r>
      <w:r>
        <w:rPr>
          <w:rFonts w:ascii="Calibri" w:hAnsi="Calibri"/>
          <w:color w:val="525866"/>
          <w:sz w:val="22"/>
        </w:rPr>
        <w:t>LHX opened at $320.55. Despite a strong double beat (revenue +6.1% vs. consensus, organic growth +15% vs. 7% guide), shares declined on the day as management held full-year revenue guidance flat. Stock closed at $320.55 (base = 100).</w:t>
      </w:r>
    </w:p>
    <w:p>
      <w:pPr>
        <w:pStyle w:val="ListBullet"/>
        <w:ind w:left="360" w:hanging="360"/>
      </w:pPr>
      <w:r>
        <w:rPr>
          <w:rFonts w:ascii="Calibri" w:hAnsi="Calibri"/>
          <w:b/>
          <w:color w:val="525866"/>
          <w:sz w:val="22"/>
        </w:rPr>
        <w:t xml:space="preserve">May 1–May 8: </w:t>
      </w:r>
      <w:r>
        <w:rPr>
          <w:rFonts w:ascii="Calibri" w:hAnsi="Calibri"/>
          <w:color w:val="525866"/>
          <w:sz w:val="22"/>
        </w:rPr>
        <w:t>LHX drifted lower to ~$300 (−6% from base) as investors digested the maintained guidance and sector rotation weighed on defense names broadly.</w:t>
      </w:r>
    </w:p>
    <w:p>
      <w:pPr>
        <w:pStyle w:val="ListBullet"/>
        <w:ind w:left="360" w:hanging="360"/>
      </w:pPr>
      <w:r>
        <w:rPr>
          <w:rFonts w:ascii="Calibri" w:hAnsi="Calibri"/>
          <w:b/>
          <w:color w:val="525866"/>
          <w:sz w:val="22"/>
        </w:rPr>
        <w:t xml:space="preserve">Jun 16, 2026 (AXYV IPO Bank Selection): </w:t>
      </w:r>
      <w:r>
        <w:rPr>
          <w:rFonts w:ascii="Calibri" w:hAnsi="Calibri"/>
          <w:color w:val="525866"/>
          <w:sz w:val="22"/>
        </w:rPr>
        <w:t>LHX fell ~6% on the day (to $294.82) as Bloomberg reported JPMorgan and Morgan Stanley selected as AXYV IPO lead underwriters. The decline coincided with Trump-Iran framework deal headlines and Hormuz reopening news, which reduced geopolitical risk premium across defense names.</w:t>
      </w:r>
    </w:p>
    <w:p>
      <w:pPr>
        <w:pStyle w:val="ListBullet"/>
        <w:ind w:left="360" w:hanging="360"/>
      </w:pPr>
      <w:r>
        <w:rPr>
          <w:rFonts w:ascii="Calibri" w:hAnsi="Calibri"/>
          <w:b/>
          <w:color w:val="525866"/>
          <w:sz w:val="22"/>
        </w:rPr>
        <w:t xml:space="preserve">Jun 18–Jul 21: </w:t>
      </w:r>
      <w:r>
        <w:rPr>
          <w:rFonts w:ascii="Calibri" w:hAnsi="Calibri"/>
          <w:color w:val="525866"/>
          <w:sz w:val="22"/>
        </w:rPr>
        <w:t>LHX continued to underperform, reaching a trough of ~$277.71 on July 21 (−13.4% from base) while ITA was up ~+5% over the same period — a ~18-point gap driven by LHX-specific AXYV IPO uncertainty and sector rotation into higher-beta defense names.</w:t>
      </w:r>
    </w:p>
    <w:p>
      <w:pPr>
        <w:pStyle w:val="ListBullet"/>
        <w:ind w:left="360" w:hanging="360"/>
      </w:pPr>
      <w:r>
        <w:rPr>
          <w:rFonts w:ascii="Calibri" w:hAnsi="Calibri"/>
          <w:b/>
          <w:color w:val="525866"/>
          <w:sz w:val="22"/>
        </w:rPr>
        <w:t xml:space="preserve">Jul 13, 2026 (SDA AMDT3 Contract): </w:t>
      </w:r>
      <w:r>
        <w:rPr>
          <w:rFonts w:ascii="Calibri" w:hAnsi="Calibri"/>
          <w:color w:val="525866"/>
          <w:sz w:val="22"/>
        </w:rPr>
        <w:t>L3Harris received a Space Force contract for 18 AMDT3 satellites supporting Golden Dome. Modest positive catalyst.</w:t>
      </w:r>
    </w:p>
    <w:p>
      <w:pPr>
        <w:pStyle w:val="ListBullet"/>
        <w:ind w:left="360" w:hanging="360"/>
      </w:pPr>
      <w:r>
        <w:rPr>
          <w:rFonts w:ascii="Calibri" w:hAnsi="Calibri"/>
          <w:b/>
          <w:color w:val="525866"/>
          <w:sz w:val="22"/>
        </w:rPr>
        <w:t xml:space="preserve">Jul 23–27, 2026 (LMT/RTX Q2 Beats + PAC-3/THAAD Frameworks): </w:t>
      </w:r>
      <w:r>
        <w:rPr>
          <w:rFonts w:ascii="Calibri" w:hAnsi="Calibri"/>
          <w:color w:val="525866"/>
          <w:sz w:val="22"/>
        </w:rPr>
        <w:t>LHX rallied sharply from $277.71 to $303.48 (+9.3%) as peer Q2 beats from LMT and RTX provided read-through, and LHX announced framework agreements to nearly triple PAC-3 MSE and quadruple THAAD propulsion production. ITA also rallied but LHX outperformed on the specific catalyst.</w:t>
      </w:r>
    </w:p>
    <w:p>
      <w:pPr>
        <w:pStyle w:val="ListBullet"/>
        <w:ind w:left="360" w:hanging="360"/>
      </w:pPr>
      <w:r>
        <w:rPr>
          <w:rFonts w:ascii="Calibri" w:hAnsi="Calibri"/>
          <w:b/>
          <w:color w:val="525866"/>
          <w:sz w:val="22"/>
        </w:rPr>
        <w:t xml:space="preserve">Current (Jul 28, 2026): </w:t>
      </w:r>
      <w:r>
        <w:rPr>
          <w:rFonts w:ascii="Calibri" w:hAnsi="Calibri"/>
          <w:color w:val="525866"/>
          <w:sz w:val="22"/>
        </w:rPr>
        <w:t>LHX at ~$305–306 (post-market), approximately −5% from the Q1 earnings base vs. ITA +12% — a ~17-point underperformance gap that could close sharply on a Q2 beat and guidance raise.</w:t>
      </w:r>
    </w:p>
    <w:p>
      <w:r>
        <w:rPr>
          <w:rFonts w:ascii="Calibri" w:hAnsi="Calibri"/>
          <w:b/>
          <w:color w:val="525866"/>
          <w:sz w:val="22"/>
        </w:rPr>
        <w:t xml:space="preserve">Sector ETF: </w:t>
      </w:r>
      <w:r>
        <w:rPr>
          <w:rFonts w:ascii="Calibri" w:hAnsi="Calibri"/>
          <w:color w:val="525866"/>
          <w:sz w:val="22"/>
        </w:rPr>
        <w:t>ITA (iShares U.S. Aerospace &amp; Defense ETF) — appropriate for LHX’s defense electronics, missile systems, and communications sub-sectors. S&amp;P 500 data not available in the pulled dataset; ITA is the primary benchmark.</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Peers reporting Q2 2026 results (LMT July 23, RTX July 23, NOC July 21) delivered </w:t>
      </w:r>
      <w:r>
        <w:rPr>
          <w:rFonts w:ascii="Calibri" w:hAnsi="Calibri"/>
          <w:b/>
          <w:color w:val="525866"/>
          <w:sz w:val="22"/>
        </w:rPr>
        <w:t>uniformly strong beats with raised guidance</w:t>
      </w:r>
      <w:r>
        <w:rPr>
          <w:rFonts w:ascii="Calibri" w:hAnsi="Calibri"/>
          <w:color w:val="525866"/>
          <w:sz w:val="22"/>
        </w:rPr>
        <w:t xml:space="preserve">, driven by the same demand tailwinds that benefit LHX — record missile/munitions bookings, accelerating international demand, and a $1.1T+ defense budget backdrop. The read-through is </w:t>
      </w:r>
      <w:r>
        <w:rPr>
          <w:rFonts w:ascii="Calibri" w:hAnsi="Calibri"/>
          <w:b/>
          <w:color w:val="525866"/>
          <w:sz w:val="22"/>
        </w:rPr>
        <w:t>unambiguously positive</w:t>
      </w:r>
      <w:r>
        <w:rPr>
          <w:rFonts w:ascii="Calibri" w:hAnsi="Calibri"/>
          <w:color w:val="525866"/>
          <w:sz w:val="22"/>
        </w:rPr>
        <w:t xml:space="preserve"> for LHX’s missile, space, and communications segments.</w:t>
      </w:r>
    </w:p>
    <w:p>
      <w:pPr>
        <w:pStyle w:val="Heading3"/>
      </w:pPr>
      <w:r>
        <w:rPr>
          <w:rFonts w:ascii="Calibri" w:hAnsi="Calibri"/>
          <w:b/>
          <w:color w:val="3B4259"/>
          <w:sz w:val="24"/>
        </w:rPr>
        <w:t>Lockheed Martin (LMT) — Q2 2026 Earnings (Reported July 23, 2026)</w:t>
      </w:r>
    </w:p>
    <w:p>
      <w:r>
        <w:rPr>
          <w:rFonts w:ascii="Calibri" w:hAnsi="Calibri"/>
          <w:b/>
          <w:color w:val="525866"/>
          <w:sz w:val="22"/>
        </w:rPr>
        <w:t xml:space="preserve">Read-Through Relevance: </w:t>
      </w:r>
      <w:r>
        <w:rPr>
          <w:rFonts w:ascii="Calibri" w:hAnsi="Calibri"/>
          <w:color w:val="525866"/>
          <w:sz w:val="22"/>
        </w:rPr>
        <w:t>HIGH — LMT’s Missiles &amp; Fire Control (MFC) segment is the most direct read-through for LHX’s Missile Solutions segment (AXYV). LMT is also a partner on PAC-3 MSE propulsion (LHX supplies solid rocket motors).</w:t>
      </w:r>
    </w:p>
    <w:p>
      <w:pPr>
        <w:pStyle w:val="ListBullet"/>
        <w:ind w:left="360" w:hanging="360"/>
      </w:pPr>
      <w:r>
        <w:rPr>
          <w:rFonts w:ascii="Calibri" w:hAnsi="Calibri"/>
          <w:b/>
          <w:color w:val="525866"/>
          <w:sz w:val="22"/>
        </w:rPr>
        <w:t xml:space="preserve">Missile demand at historic levels: </w:t>
      </w:r>
      <w:r>
        <w:rPr>
          <w:rFonts w:ascii="Calibri" w:hAnsi="Calibri"/>
          <w:color w:val="525866"/>
          <w:sz w:val="22"/>
        </w:rPr>
        <w:t xml:space="preserve">LMT reported a Q2 book-to-bill of 3.2x with $65B in orders, including a $35B, 7-year THAAD contract to quadruple interceptor production and a $3B Army missile production contract. MFC segment sales were up 19% YoY and profit up 24% YoY. LMT is being asked to “triple THAAD MSE production and quadruple [other] production.” </w:t>
      </w:r>
    </w:p>
    <w:p>
      <w:pPr>
        <w:pStyle w:val="ListBullet"/>
        <w:ind w:left="360" w:hanging="360"/>
      </w:pPr>
      <w:r>
        <w:rPr>
          <w:rFonts w:ascii="Calibri" w:hAnsi="Calibri"/>
          <w:b/>
          <w:color w:val="525866"/>
          <w:sz w:val="22"/>
        </w:rPr>
        <w:t xml:space="preserve">Direct LHX read-through — PAC-3 and THAAD: </w:t>
      </w:r>
      <w:r>
        <w:rPr>
          <w:rFonts w:ascii="Calibri" w:hAnsi="Calibri"/>
          <w:color w:val="525866"/>
          <w:sz w:val="22"/>
        </w:rPr>
        <w:t>LMT announced a multi-year PAC-3 contract expected in H2 2026 and signed a MOU with Rheinmetall for European ATACMS production. LHX announced on July 27 a framework to nearly triple PAC-3 MSE propulsion and quadruple THAAD propulsion — directly corroborating LMT’s demand commentary. These frameworks are expected to be definitized later in 2026.</w:t>
      </w:r>
    </w:p>
    <w:p>
      <w:pPr>
        <w:pStyle w:val="ListBullet"/>
        <w:ind w:left="360" w:hanging="360"/>
      </w:pPr>
      <w:r>
        <w:rPr>
          <w:rFonts w:ascii="Calibri" w:hAnsi="Calibri"/>
          <w:b/>
          <w:color w:val="525866"/>
          <w:sz w:val="22"/>
        </w:rPr>
        <w:t xml:space="preserve">Space — Golden Dome: </w:t>
      </w:r>
      <w:r>
        <w:rPr>
          <w:rFonts w:ascii="Calibri" w:hAnsi="Calibri"/>
          <w:color w:val="525866"/>
          <w:sz w:val="22"/>
        </w:rPr>
        <w:t>LMT was selected by the U.S. Space Force to develop space-based interceptor prototypes under Golden Dome, with capability demonstration expected by 2028. LHX received an SDA AMDT3 contract on July 13 for 18 satellites supporting Golden Dome — both companies are benefiting from the same program.</w:t>
      </w:r>
    </w:p>
    <w:p>
      <w:pPr>
        <w:pStyle w:val="ListBullet"/>
        <w:ind w:left="360" w:hanging="360"/>
      </w:pPr>
      <w:r>
        <w:rPr>
          <w:rFonts w:ascii="Calibri" w:hAnsi="Calibri"/>
          <w:b/>
          <w:color w:val="525866"/>
          <w:sz w:val="22"/>
        </w:rPr>
        <w:t xml:space="preserve">Guidance raised broadly: </w:t>
      </w:r>
      <w:r>
        <w:rPr>
          <w:rFonts w:ascii="Calibri" w:hAnsi="Calibri"/>
          <w:color w:val="525866"/>
          <w:sz w:val="22"/>
        </w:rPr>
        <w:t>LMT raised FY 2026 total sales guidance to $79.75B–$81.75B (8% YoY at midpoint, up from 5%), with MFC sales now $16.5B–$16.9B. Every segment expected to grow faster in H2 2026. Free cash flow raised to $7.0B–$7.2B.</w:t>
      </w:r>
    </w:p>
    <w:p>
      <w:pPr>
        <w:pStyle w:val="ListBullet"/>
        <w:ind w:left="360" w:hanging="360"/>
      </w:pPr>
      <w:r>
        <w:rPr>
          <w:rFonts w:ascii="Calibri" w:hAnsi="Calibri"/>
          <w:b/>
          <w:color w:val="525866"/>
          <w:sz w:val="22"/>
        </w:rPr>
        <w:t xml:space="preserve">Acquisition model commentary: </w:t>
      </w:r>
      <w:r>
        <w:rPr>
          <w:rFonts w:ascii="Calibri" w:hAnsi="Calibri"/>
          <w:color w:val="525866"/>
          <w:sz w:val="22"/>
        </w:rPr>
        <w:t>LMT CEO advocated for “commercially inspired, long-term, enforceable agreements” — consistent with LHX management’s framing of the fixed-price commercial model as a template for DoD acquisition reform.</w:t>
      </w:r>
    </w:p>
    <w:p>
      <w:pPr>
        <w:pStyle w:val="Heading3"/>
      </w:pPr>
      <w:r>
        <w:rPr>
          <w:rFonts w:ascii="Calibri" w:hAnsi="Calibri"/>
          <w:b/>
          <w:color w:val="3B4259"/>
          <w:sz w:val="24"/>
        </w:rPr>
        <w:t>RTX (Raytheon Technologies) — Q2 2026 Earnings (Reported July 23, 2026)</w:t>
      </w:r>
    </w:p>
    <w:p>
      <w:r>
        <w:rPr>
          <w:rFonts w:ascii="Calibri" w:hAnsi="Calibri"/>
          <w:b/>
          <w:color w:val="525866"/>
          <w:sz w:val="22"/>
        </w:rPr>
        <w:t xml:space="preserve">Read-Through Relevance: </w:t>
      </w:r>
      <w:r>
        <w:rPr>
          <w:rFonts w:ascii="Calibri" w:hAnsi="Calibri"/>
          <w:color w:val="525866"/>
          <w:sz w:val="22"/>
        </w:rPr>
        <w:t>HIGH — RTX’s Raytheon segment competes with and complements LHX in missile defense, tactical communications, and space. RTX’s demand commentary is the broadest read-through for the defense electronics market.</w:t>
      </w:r>
    </w:p>
    <w:p>
      <w:pPr>
        <w:pStyle w:val="ListBullet"/>
        <w:ind w:left="360" w:hanging="360"/>
      </w:pPr>
      <w:r>
        <w:rPr>
          <w:rFonts w:ascii="Calibri" w:hAnsi="Calibri"/>
          <w:b/>
          <w:color w:val="525866"/>
          <w:sz w:val="22"/>
        </w:rPr>
        <w:t xml:space="preserve">Record backlog and bookings: </w:t>
      </w:r>
      <w:r>
        <w:rPr>
          <w:rFonts w:ascii="Calibri" w:hAnsi="Calibri"/>
          <w:color w:val="525866"/>
          <w:sz w:val="22"/>
        </w:rPr>
        <w:t>RTX reported a record $289B backlog (+22% YoY, +6% sequentially). Raytheon booked nearly $20B in Q2 awards, including a 2.4x book-to-bill, $5B+ of GMT Patriot effectors, $4B+ of classified awards, and $1.8B for AMRAAM. International awards in H1 2026 exceeded $10B, more than double YoY.</w:t>
      </w:r>
    </w:p>
    <w:p>
      <w:pPr>
        <w:pStyle w:val="ListBullet"/>
        <w:ind w:left="360" w:hanging="360"/>
      </w:pPr>
      <w:r>
        <w:rPr>
          <w:rFonts w:ascii="Calibri" w:hAnsi="Calibri"/>
          <w:b/>
          <w:color w:val="525866"/>
          <w:sz w:val="22"/>
        </w:rPr>
        <w:t xml:space="preserve">Organic growth acceleration: </w:t>
      </w:r>
      <w:r>
        <w:rPr>
          <w:rFonts w:ascii="Calibri" w:hAnsi="Calibri"/>
          <w:color w:val="525866"/>
          <w:sz w:val="22"/>
        </w:rPr>
        <w:t>RTX raised FY 2026 adjusted sales guidance to $95B–$96B (up from $92.5B–$93.5B), implying 8%–9% organic growth (up from 5%–6%). Raytheon specifically raised to high single digits to low double digits organic growth. This directly validates LHX’s demand environment.</w:t>
      </w:r>
    </w:p>
    <w:p>
      <w:pPr>
        <w:pStyle w:val="ListBullet"/>
        <w:ind w:left="360" w:hanging="360"/>
      </w:pPr>
      <w:r>
        <w:rPr>
          <w:rFonts w:ascii="Calibri" w:hAnsi="Calibri"/>
          <w:b/>
          <w:color w:val="525866"/>
          <w:sz w:val="22"/>
        </w:rPr>
        <w:t xml:space="preserve">Counter-UAS demand: </w:t>
      </w:r>
      <w:r>
        <w:rPr>
          <w:rFonts w:ascii="Calibri" w:hAnsi="Calibri"/>
          <w:color w:val="525866"/>
          <w:sz w:val="22"/>
        </w:rPr>
        <w:t>RTX’s Coyote counter-UAS effector has “more than doubled output” and is “incredibly effective in the field and in high demand.” LHX has its own counter-UAS offerings (VAMPIRE system, Wraith Shield AI software) — the demand signal is consistent.</w:t>
      </w:r>
    </w:p>
    <w:p>
      <w:pPr>
        <w:pStyle w:val="ListBullet"/>
        <w:ind w:left="360" w:hanging="360"/>
      </w:pPr>
      <w:r>
        <w:rPr>
          <w:rFonts w:ascii="Calibri" w:hAnsi="Calibri"/>
          <w:b/>
          <w:color w:val="525866"/>
          <w:sz w:val="22"/>
        </w:rPr>
        <w:t xml:space="preserve">Supply chain investment: </w:t>
      </w:r>
      <w:r>
        <w:rPr>
          <w:rFonts w:ascii="Calibri" w:hAnsi="Calibri"/>
          <w:color w:val="525866"/>
          <w:sz w:val="22"/>
        </w:rPr>
        <w:t>RTX is investing an additional $100M to increase GMT component production and engaging second/third suppliers. Multi-year contracts described as the “single biggest game changer” for supply chain capacity — directly relevant to LHX’s MAC program negotiations.</w:t>
      </w:r>
    </w:p>
    <w:p>
      <w:pPr>
        <w:pStyle w:val="ListBullet"/>
        <w:ind w:left="360" w:hanging="360"/>
      </w:pPr>
      <w:r>
        <w:rPr>
          <w:rFonts w:ascii="Calibri" w:hAnsi="Calibri"/>
          <w:b/>
          <w:color w:val="525866"/>
          <w:sz w:val="22"/>
        </w:rPr>
        <w:t xml:space="preserve">Budget confidence: </w:t>
      </w:r>
      <w:r>
        <w:rPr>
          <w:rFonts w:ascii="Calibri" w:hAnsi="Calibri"/>
          <w:color w:val="525866"/>
          <w:sz w:val="22"/>
        </w:rPr>
        <w:t>RTX CEO noted the $1.1T base budget request crossing $1T is “significant” and signals “continued demand for years to come.” Bipartisan Congressional support for munitions ramp confirmed.</w:t>
      </w:r>
    </w:p>
    <w:p>
      <w:pPr>
        <w:pStyle w:val="Heading3"/>
      </w:pPr>
      <w:r>
        <w:rPr>
          <w:rFonts w:ascii="Calibri" w:hAnsi="Calibri"/>
          <w:b/>
          <w:color w:val="3B4259"/>
          <w:sz w:val="24"/>
        </w:rPr>
        <w:t>Northrop Grumman (NOC) — Q2 2026 Earnings (Reported July 21, 2026)</w:t>
      </w:r>
    </w:p>
    <w:p>
      <w:r>
        <w:rPr>
          <w:rFonts w:ascii="Calibri" w:hAnsi="Calibri"/>
          <w:b/>
          <w:color w:val="525866"/>
          <w:sz w:val="22"/>
        </w:rPr>
        <w:t xml:space="preserve">Read-Through Relevance: </w:t>
      </w:r>
      <w:r>
        <w:rPr>
          <w:rFonts w:ascii="Calibri" w:hAnsi="Calibri"/>
          <w:color w:val="525866"/>
          <w:sz w:val="22"/>
        </w:rPr>
        <w:t>MEDIUM-HIGH — NOC competes with LHX in space (SDA tracking layer, national security space) and missile defense (IBCS, solid rocket motors). NOC’s space and missile commentary is directly relevant.</w:t>
      </w:r>
    </w:p>
    <w:p>
      <w:pPr>
        <w:pStyle w:val="ListBullet"/>
        <w:ind w:left="360" w:hanging="360"/>
      </w:pPr>
      <w:r>
        <w:rPr>
          <w:rFonts w:ascii="Calibri" w:hAnsi="Calibri"/>
          <w:b/>
          <w:color w:val="525866"/>
          <w:sz w:val="22"/>
        </w:rPr>
        <w:t xml:space="preserve">Record backlog and raised guidance: </w:t>
      </w:r>
      <w:r>
        <w:rPr>
          <w:rFonts w:ascii="Calibri" w:hAnsi="Calibri"/>
          <w:color w:val="525866"/>
          <w:sz w:val="22"/>
        </w:rPr>
        <w:t>NOC reported a record $105B backlog and a 1.84x Q2 book-to-bill. FY 2026 sales guidance raised to $43.75B–$44.25B (5%+ organic growth). EPS raised by $1.20. Full-year book-to-bill expected “at least 1.25x.”</w:t>
      </w:r>
    </w:p>
    <w:p>
      <w:pPr>
        <w:pStyle w:val="ListBullet"/>
        <w:ind w:left="360" w:hanging="360"/>
      </w:pPr>
      <w:r>
        <w:rPr>
          <w:rFonts w:ascii="Calibri" w:hAnsi="Calibri"/>
          <w:b/>
          <w:color w:val="525866"/>
          <w:sz w:val="22"/>
        </w:rPr>
        <w:t xml:space="preserve">Space — national security space growing high single digits: </w:t>
      </w:r>
      <w:r>
        <w:rPr>
          <w:rFonts w:ascii="Calibri" w:hAnsi="Calibri"/>
          <w:color w:val="525866"/>
          <w:sz w:val="22"/>
        </w:rPr>
        <w:t>NOC’s national security space business projected to grow high single digits and generate $7B+ in sales in 2026, driven by space security, space resilience, and missile defense. NOC is “looking at future tranches” of space-based AMC requirements — the same market LHX is targeting with its SDA tracking layer and HBTSS programs.</w:t>
      </w:r>
    </w:p>
    <w:p>
      <w:pPr>
        <w:pStyle w:val="ListBullet"/>
        <w:ind w:left="360" w:hanging="360"/>
      </w:pPr>
      <w:r>
        <w:rPr>
          <w:rFonts w:ascii="Calibri" w:hAnsi="Calibri"/>
          <w:b/>
          <w:color w:val="525866"/>
          <w:sz w:val="22"/>
        </w:rPr>
        <w:t xml:space="preserve">Solid rocket motors — PAC-3 qualification: </w:t>
      </w:r>
      <w:r>
        <w:rPr>
          <w:rFonts w:ascii="Calibri" w:hAnsi="Calibri"/>
          <w:color w:val="525866"/>
          <w:sz w:val="22"/>
        </w:rPr>
        <w:t>NOC completed qualification to become a PAC-3 SRM supplier and reached a $2B framework agreement with DoW and LMT. NOC expects PAC-3 SRM production awards later in 2026. This is a direct competitive read-through for LHX’s Missile Solutions (AXYV) segment, which also produces PAC-3 propulsion.</w:t>
      </w:r>
    </w:p>
    <w:p>
      <w:pPr>
        <w:pStyle w:val="ListBullet"/>
        <w:ind w:left="360" w:hanging="360"/>
      </w:pPr>
      <w:r>
        <w:rPr>
          <w:rFonts w:ascii="Calibri" w:hAnsi="Calibri"/>
          <w:b/>
          <w:color w:val="525866"/>
          <w:sz w:val="22"/>
        </w:rPr>
        <w:t xml:space="preserve">International demand unprecedented: </w:t>
      </w:r>
      <w:r>
        <w:rPr>
          <w:rFonts w:ascii="Calibri" w:hAnsi="Calibri"/>
          <w:color w:val="525866"/>
          <w:sz w:val="22"/>
        </w:rPr>
        <w:t>NOC cited “unprecedented levels of defense investment as allies accelerate modernization.” NATO allies pledged $50B in additional investments at the recent summit. FMS cases being approved at a “much more rapid rate.” NOC’s goal is to double international sales to $10B by 2031.</w:t>
      </w:r>
    </w:p>
    <w:p>
      <w:pPr>
        <w:pStyle w:val="ListBullet"/>
        <w:ind w:left="360" w:hanging="360"/>
      </w:pPr>
      <w:r>
        <w:rPr>
          <w:rFonts w:ascii="Calibri" w:hAnsi="Calibri"/>
          <w:b/>
          <w:color w:val="525866"/>
          <w:sz w:val="22"/>
        </w:rPr>
        <w:t xml:space="preserve">Missile defense — IBCS momentum: </w:t>
      </w:r>
      <w:r>
        <w:rPr>
          <w:rFonts w:ascii="Calibri" w:hAnsi="Calibri"/>
          <w:color w:val="525866"/>
          <w:sz w:val="22"/>
        </w:rPr>
        <w:t>Kuwait received State Dept. authorization for 6 IBCS systems; UAE and Qatar have letters of request. NOC has 10 multiyear missile acceleration agreements with up to $10B of sales opportunity over 7 years. The MAC program framework is directly analogous to LHX’s $25B MAC negotiations.</w:t>
      </w:r>
    </w:p>
    <w:p>
      <w:pPr>
        <w:pStyle w:val="Heading3"/>
      </w:pPr>
      <w:r>
        <w:rPr>
          <w:rFonts w:ascii="Calibri" w:hAnsi="Calibri"/>
          <w:b/>
          <w:color w:val="3B4259"/>
          <w:sz w:val="24"/>
        </w:rPr>
        <w:t>Leonardo DRS (DRS) — Q1 2026 Earnings (Reported May 5, 2026)</w:t>
      </w:r>
    </w:p>
    <w:p>
      <w:r>
        <w:rPr>
          <w:rFonts w:ascii="Calibri" w:hAnsi="Calibri"/>
          <w:b/>
          <w:color w:val="525866"/>
          <w:sz w:val="22"/>
        </w:rPr>
        <w:t xml:space="preserve">Read-Through Relevance: </w:t>
      </w:r>
      <w:r>
        <w:rPr>
          <w:rFonts w:ascii="Calibri" w:hAnsi="Calibri"/>
          <w:color w:val="525866"/>
          <w:sz w:val="22"/>
        </w:rPr>
        <w:t>MEDIUM — DRS competes with LHX in tactical radars, space sensing (SDA Tranche 3), counter-UAS, and ISR. DRS’s Q1 commentary (about Q2 2026 outlook) is relevant as a forward-looking read-through.</w:t>
      </w:r>
    </w:p>
    <w:p>
      <w:pPr>
        <w:pStyle w:val="ListBullet"/>
        <w:ind w:left="360" w:hanging="360"/>
      </w:pPr>
      <w:r>
        <w:rPr>
          <w:rFonts w:ascii="Calibri" w:hAnsi="Calibri"/>
          <w:b/>
          <w:color w:val="525866"/>
          <w:sz w:val="22"/>
        </w:rPr>
        <w:t xml:space="preserve">Tactical radars — “nearly insatiable” demand: </w:t>
      </w:r>
      <w:r>
        <w:rPr>
          <w:rFonts w:ascii="Calibri" w:hAnsi="Calibri"/>
          <w:color w:val="525866"/>
          <w:sz w:val="22"/>
        </w:rPr>
        <w:t>DRS described demand for tactical radars from its Israel operations as “nearly insatiable” and is “aggressively increasing throughput and production capacity.” DRS raised FY 2026 revenue guidance to $3.9B–$3.975B (7%–9% organic growth). Q2 2026 revenue expected ~$900M with mid-12% EBITDA margins.</w:t>
      </w:r>
    </w:p>
    <w:p>
      <w:pPr>
        <w:pStyle w:val="ListBullet"/>
        <w:ind w:left="360" w:hanging="360"/>
      </w:pPr>
      <w:r>
        <w:rPr>
          <w:rFonts w:ascii="Calibri" w:hAnsi="Calibri"/>
          <w:b/>
          <w:color w:val="525866"/>
          <w:sz w:val="22"/>
        </w:rPr>
        <w:t xml:space="preserve">SDA Tranche 3 — direct LHX read-through: </w:t>
      </w:r>
      <w:r>
        <w:rPr>
          <w:rFonts w:ascii="Calibri" w:hAnsi="Calibri"/>
          <w:color w:val="525866"/>
          <w:sz w:val="22"/>
        </w:rPr>
        <w:t>DRS added the “SDA tracking layer Tranche 3 program” to its portfolio — the same program family where LHX has 56 satellites on order. Both companies are benefiting from the same SDA demand wave.</w:t>
      </w:r>
    </w:p>
    <w:p>
      <w:pPr>
        <w:pStyle w:val="ListBullet"/>
        <w:ind w:left="360" w:hanging="360"/>
      </w:pPr>
      <w:r>
        <w:rPr>
          <w:rFonts w:ascii="Calibri" w:hAnsi="Calibri"/>
          <w:b/>
          <w:color w:val="525866"/>
          <w:sz w:val="22"/>
        </w:rPr>
        <w:t xml:space="preserve">Counter-UAS and next-gen C2: </w:t>
      </w:r>
      <w:r>
        <w:rPr>
          <w:rFonts w:ascii="Calibri" w:hAnsi="Calibri"/>
          <w:color w:val="525866"/>
          <w:sz w:val="22"/>
        </w:rPr>
        <w:t>DRS is developing “next-generation multi-domain counter UAS solutions” and “key technologies underpinning next-generation command and control architectures” — directly overlapping with LHX’s Wraith Shield AI counter-UAS software and NGC2 transport layer work.</w:t>
      </w:r>
    </w:p>
    <w:p>
      <w:pPr>
        <w:pStyle w:val="ListBullet"/>
        <w:ind w:left="360" w:hanging="360"/>
      </w:pPr>
      <w:r>
        <w:rPr>
          <w:rFonts w:ascii="Calibri" w:hAnsi="Calibri"/>
          <w:b/>
          <w:color w:val="525866"/>
          <w:sz w:val="22"/>
        </w:rPr>
        <w:t xml:space="preserve">Budget environment: </w:t>
      </w:r>
      <w:r>
        <w:rPr>
          <w:rFonts w:ascii="Calibri" w:hAnsi="Calibri"/>
          <w:color w:val="525866"/>
          <w:sz w:val="22"/>
        </w:rPr>
        <w:t>DRS noted the FY’27 budget request proposes $1.5T in total defense spending and that supplemental funding from last summer’s reconciliation package is being deployed in FY’26, “accelerating the procurement of critical capabilities.”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27 PAC-3 MSE and THAAD framework agreements</w:t>
      </w:r>
      <w:r>
        <w:rPr>
          <w:rFonts w:ascii="Calibri" w:hAnsi="Calibri"/>
          <w:color w:val="525866"/>
          <w:sz w:val="22"/>
        </w:rPr>
        <w:t xml:space="preserve"> — the largest propulsion awards in LHX history — which directly validate the Missile Solutions (AXYV) growth thesis and provide multi-year revenue visibility heading into the IPO.</w:t>
      </w:r>
    </w:p>
    <w:p>
      <w:pPr>
        <w:pStyle w:val="ListBullet"/>
        <w:ind w:left="360" w:hanging="360"/>
      </w:pPr>
      <w:r>
        <w:rPr>
          <w:rFonts w:ascii="Calibri" w:hAnsi="Calibri"/>
          <w:b/>
          <w:color w:val="525866"/>
          <w:sz w:val="22"/>
        </w:rPr>
        <w:t xml:space="preserve">July 27, 2026 — PAC-3 MSE Framework Agreement (Largest in LHX History): </w:t>
      </w:r>
      <w:r>
        <w:rPr>
          <w:rFonts w:ascii="Calibri" w:hAnsi="Calibri"/>
          <w:color w:val="525866"/>
          <w:sz w:val="22"/>
        </w:rPr>
        <w:t xml:space="preserve">LHX signed a 7-year framework with DoW and Lockheed Martin to nearly triple PAC-3 MSE propulsion production (solid rocket motors, ACMs, Lethality Enhancers). Described as LHX’s largest PAC-3 propulsion agreement to date. Contract expected to be definitized later in 2026. </w:t>
      </w:r>
    </w:p>
    <w:p>
      <w:pPr>
        <w:pStyle w:val="ListBullet"/>
        <w:ind w:left="360" w:hanging="360"/>
      </w:pPr>
      <w:r>
        <w:rPr>
          <w:rFonts w:ascii="Calibri" w:hAnsi="Calibri"/>
          <w:b/>
          <w:color w:val="525866"/>
          <w:sz w:val="22"/>
        </w:rPr>
        <w:t xml:space="preserve">July 27, 2026 — THAAD Framework Agreement (Quadruple Production): </w:t>
      </w:r>
      <w:r>
        <w:rPr>
          <w:rFonts w:ascii="Calibri" w:hAnsi="Calibri"/>
          <w:color w:val="525866"/>
          <w:sz w:val="22"/>
        </w:rPr>
        <w:t xml:space="preserve">LHX signed a 7-year framework with DoW and Lockheed Martin to quadruple THAAD propulsion production (Solid Rocket Boost Motors and Liquid Divert and Attitude Control Systems). Largest THAAD propulsion award in LHX history. Directly corroborates LMT’s $35B THAAD contract announced July 23. </w:t>
      </w:r>
    </w:p>
    <w:p>
      <w:pPr>
        <w:pStyle w:val="ListBullet"/>
        <w:ind w:left="360" w:hanging="360"/>
      </w:pPr>
      <w:r>
        <w:rPr>
          <w:rFonts w:ascii="Calibri" w:hAnsi="Calibri"/>
          <w:b/>
          <w:color w:val="525866"/>
          <w:sz w:val="22"/>
        </w:rPr>
        <w:t xml:space="preserve">July 24, 2026 — $25M Sustainment Equity Awards to Key Executives (8-K): </w:t>
      </w:r>
      <w:r>
        <w:rPr>
          <w:rFonts w:ascii="Calibri" w:hAnsi="Calibri"/>
          <w:color w:val="525866"/>
          <w:sz w:val="22"/>
        </w:rPr>
        <w:t xml:space="preserve">Compensation Committee approved special one-time “Sustainment Awards” for CFO Ken Sharp ($5M), Missile Solutions President Ken Bedingfield ($10M), and SMS/CSD President Samir Mehta ($10M). Awards are 50% PSUs / 50% RSUs, cliff-vesting at end of FY 2029, tied to organic revenue growth and segment operating margin. </w:t>
      </w:r>
    </w:p>
    <w:p>
      <w:pPr>
        <w:pStyle w:val="ListBullet"/>
        <w:ind w:left="360" w:hanging="360"/>
      </w:pPr>
      <w:r>
        <w:rPr>
          <w:rFonts w:ascii="Calibri" w:hAnsi="Calibri"/>
          <w:b/>
          <w:color w:val="525866"/>
          <w:sz w:val="22"/>
        </w:rPr>
        <w:t xml:space="preserve">July 13, 2026 — SDA AMDT3 Contract (18 Satellites, Golden Dome): </w:t>
      </w:r>
      <w:r>
        <w:rPr>
          <w:rFonts w:ascii="Calibri" w:hAnsi="Calibri"/>
          <w:color w:val="525866"/>
          <w:sz w:val="22"/>
        </w:rPr>
        <w:t xml:space="preserve">LHX received a Space Force / SDA contract to produce 18 Accelerated Missile Defense Tranche 3 (AMDT3) satellites supporting Golden Dome. LHX now has 70+ missile tracking and defense satellites on order. New space manufacturing facility in Indiana and satellite integration facility in Florida to support production. </w:t>
      </w:r>
    </w:p>
    <w:p>
      <w:pPr>
        <w:pStyle w:val="ListBullet"/>
        <w:ind w:left="360" w:hanging="360"/>
      </w:pPr>
      <w:r>
        <w:rPr>
          <w:rFonts w:ascii="Calibri" w:hAnsi="Calibri"/>
          <w:b/>
          <w:color w:val="525866"/>
          <w:sz w:val="22"/>
        </w:rPr>
        <w:t xml:space="preserve">June 16, 2026 — AXYV IPO: JPMorgan &amp; Morgan Stanley Selected as Lead Underwriters: </w:t>
      </w:r>
      <w:r>
        <w:rPr>
          <w:rFonts w:ascii="Calibri" w:hAnsi="Calibri"/>
          <w:color w:val="525866"/>
          <w:sz w:val="22"/>
        </w:rPr>
        <w:t xml:space="preserve">Bloomberg reported LHX selected JPMorgan and Morgan Stanley to lead the AXYV (Missile Solutions) IPO, targeting up to ~$2B in gross proceeds. Listing window could open as soon as July 2026, subject to SEC review. LHX to retain majority economic interest. The announcement triggered a ~6% single-day stock decline, coinciding with Trump-Iran framework deal / Hormuz reopening headlines that reduced geopolitical risk premium. </w:t>
      </w:r>
    </w:p>
    <w:p>
      <w:pPr>
        <w:pStyle w:val="ListBullet"/>
        <w:ind w:left="360" w:hanging="360"/>
      </w:pPr>
      <w:r>
        <w:rPr>
          <w:rFonts w:ascii="Calibri" w:hAnsi="Calibri"/>
          <w:b/>
          <w:color w:val="525866"/>
          <w:sz w:val="22"/>
        </w:rPr>
        <w:t xml:space="preserve">May 27, 2026 — Bernstein Strategic Decisions Conference: </w:t>
      </w:r>
      <w:r>
        <w:rPr>
          <w:rFonts w:ascii="Calibri" w:hAnsi="Calibri"/>
          <w:color w:val="525866"/>
          <w:sz w:val="22"/>
        </w:rPr>
        <w:t>Management appeared at Bernstein conference. CEO Kubasik explicitly declined to discuss the IPO process. Reiterated confidence in the business and the “once-in-a-lifetime opportunity” framing. No guidance updates disclosed.</w:t>
      </w:r>
    </w:p>
    <w:p>
      <w:pPr>
        <w:pStyle w:val="ListBullet"/>
        <w:ind w:left="360" w:hanging="360"/>
      </w:pPr>
      <w:r>
        <w:rPr>
          <w:rFonts w:ascii="Calibri" w:hAnsi="Calibri"/>
          <w:b/>
          <w:color w:val="525866"/>
          <w:sz w:val="22"/>
        </w:rPr>
        <w:t xml:space="preserve">May 12, 2026 — Annual Meeting: Shareholders Affirm Board, Executive Pay; Reject Special Meeting Proposal (8-K): </w:t>
      </w:r>
      <w:r>
        <w:rPr>
          <w:rFonts w:ascii="Calibri" w:hAnsi="Calibri"/>
          <w:color w:val="525866"/>
          <w:sz w:val="22"/>
        </w:rPr>
        <w:t>Routine annual meeting outcome. No material governance changes. Shareholder rejection of special meeting proposal removes a potential activist catalyst.</w:t>
      </w:r>
    </w:p>
    <w:p>
      <w:pPr>
        <w:pStyle w:val="ListBullet"/>
        <w:ind w:left="360" w:hanging="360"/>
      </w:pPr>
      <w:r>
        <w:rPr>
          <w:rFonts w:ascii="Calibri" w:hAnsi="Calibri"/>
          <w:b/>
          <w:color w:val="525866"/>
          <w:sz w:val="22"/>
        </w:rPr>
        <w:t xml:space="preserve">Macro / Budget Environment: </w:t>
      </w:r>
      <w:r>
        <w:rPr>
          <w:rFonts w:ascii="Calibri" w:hAnsi="Calibri"/>
          <w:color w:val="525866"/>
          <w:sz w:val="22"/>
        </w:rPr>
        <w:t>The FY 2027 base budget request of $1.1T (+~25% YoY) and $350B reconciliation package provide a multi-year demand tailwind. Bipartisan Congressional support for munitions ramp confirmed by LMT, RTX, and NOC management. FMS approvals accelerating. NATO allies pledged $50B in additional investments at the recent summit. LHX management has stated 2026 guidance has no dependence on reconciliation or supplemental outcomes.</w:t>
      </w:r>
    </w:p>
    <w:p>
      <w:r>
        <w:rPr>
          <w:rFonts w:ascii="Calibri" w:hAnsi="Calibri"/>
          <w:i/>
          <w:color w:val="525866"/>
          <w:sz w:val="22"/>
        </w:rPr>
        <w:t>Sources: L3Harris press releases (July 27, July 13, 2026); L3Harris 8-K filings (July 24, May 12, 2026); Bloomberg / Perplexity (June 16, 2026); L3Harris Q1 2026 Earnings Call; LMT, RTX, NOC Q2 2026 Earnings Calls.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All transactions are </w:t>
      </w:r>
      <w:r>
        <w:rPr>
          <w:rFonts w:ascii="Calibri" w:hAnsi="Calibri"/>
          <w:b/>
          <w:color w:val="525866"/>
          <w:sz w:val="22"/>
        </w:rPr>
        <w:t>compensation-related awards (grants, RSU vesting, tax withholding)</w:t>
      </w:r>
      <w:r>
        <w:rPr>
          <w:rFonts w:ascii="Calibri" w:hAnsi="Calibri"/>
          <w:color w:val="525866"/>
          <w:sz w:val="22"/>
        </w:rPr>
        <w:t xml:space="preserve"> — nothing that signals bearish conviction. The July 24 Sustainment Awards (8-K) are a positive signal: $25M in performance-linked equity tied to organic revenue growth and segment margins through FY 2029 aligns management with long-term shareholder value creation.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Amount /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Bedingfield, Kenneth L</w:t>
            </w:r>
          </w:p>
        </w:tc>
        <w:tc>
          <w:tcPr>
            <w:tcW w:type="dxa" w:w="1440"/>
          </w:tcPr>
          <w:p>
            <w:r>
              <w:rPr>
                <w:rFonts w:ascii="Calibri" w:hAnsi="Calibri"/>
                <w:sz w:val="22"/>
              </w:rPr>
              <w:t>President, Missile Solutions</w:t>
            </w:r>
          </w:p>
        </w:tc>
        <w:tc>
          <w:tcPr>
            <w:tcW w:type="dxa" w:w="1440"/>
          </w:tcPr>
          <w:p>
            <w:r>
              <w:rPr>
                <w:rFonts w:ascii="Calibri" w:hAnsi="Calibri"/>
                <w:sz w:val="22"/>
              </w:rPr>
              <w:t>Award (A) — Phantom Stock Units</w:t>
            </w:r>
          </w:p>
        </w:tc>
        <w:tc>
          <w:tcPr>
            <w:tcW w:type="dxa" w:w="1440"/>
          </w:tcPr>
          <w:p>
            <w:r>
              <w:rPr>
                <w:rFonts w:ascii="Calibri" w:hAnsi="Calibri"/>
                <w:sz w:val="22"/>
              </w:rPr>
              <w:t>18.83 units</w:t>
            </w:r>
          </w:p>
        </w:tc>
        <w:tc>
          <w:tcPr>
            <w:tcW w:type="dxa" w:w="1440"/>
          </w:tcPr>
          <w:p>
            <w:r>
              <w:rPr>
                <w:rFonts w:ascii="Calibri" w:hAnsi="Calibri"/>
                <w:sz w:val="22"/>
              </w:rPr>
              <w:t>Jul 1, 2026</w:t>
            </w:r>
          </w:p>
        </w:tc>
        <w:tc>
          <w:tcPr>
            <w:tcW w:type="dxa" w:w="1440"/>
          </w:tcPr>
          <w:p>
            <w:r>
              <w:rPr>
                <w:rFonts w:ascii="Calibri" w:hAnsi="Calibri"/>
                <w:sz w:val="22"/>
              </w:rPr>
              <w:t>Compensation grant; not a discretionary buy</w:t>
            </w:r>
          </w:p>
        </w:tc>
      </w:tr>
      <w:tr>
        <w:tc>
          <w:tcPr>
            <w:tcW w:type="dxa" w:w="1440"/>
          </w:tcPr>
          <w:p>
            <w:r>
              <w:rPr>
                <w:rFonts w:ascii="Calibri" w:hAnsi="Calibri"/>
                <w:sz w:val="22"/>
              </w:rPr>
              <w:t>Geraghty, Joanna</w:t>
            </w:r>
          </w:p>
        </w:tc>
        <w:tc>
          <w:tcPr>
            <w:tcW w:type="dxa" w:w="1440"/>
          </w:tcPr>
          <w:p>
            <w:r>
              <w:rPr>
                <w:rFonts w:ascii="Calibri" w:hAnsi="Calibri"/>
                <w:sz w:val="22"/>
              </w:rPr>
              <w:t>Director</w:t>
            </w:r>
          </w:p>
        </w:tc>
        <w:tc>
          <w:tcPr>
            <w:tcW w:type="dxa" w:w="1440"/>
          </w:tcPr>
          <w:p>
            <w:r>
              <w:rPr>
                <w:rFonts w:ascii="Calibri" w:hAnsi="Calibri"/>
                <w:sz w:val="22"/>
              </w:rPr>
              <w:t>Award (A) — Common Stock</w:t>
            </w:r>
          </w:p>
        </w:tc>
        <w:tc>
          <w:tcPr>
            <w:tcW w:type="dxa" w:w="1440"/>
          </w:tcPr>
          <w:p>
            <w:r>
              <w:rPr>
                <w:rFonts w:ascii="Calibri" w:hAnsi="Calibri"/>
                <w:sz w:val="22"/>
              </w:rPr>
              <w:t>149.71 shares</w:t>
            </w:r>
          </w:p>
        </w:tc>
        <w:tc>
          <w:tcPr>
            <w:tcW w:type="dxa" w:w="1440"/>
          </w:tcPr>
          <w:p>
            <w:r>
              <w:rPr>
                <w:rFonts w:ascii="Calibri" w:hAnsi="Calibri"/>
                <w:sz w:val="22"/>
              </w:rPr>
              <w:t>Jul 1, 2026</w:t>
            </w:r>
          </w:p>
        </w:tc>
        <w:tc>
          <w:tcPr>
            <w:tcW w:type="dxa" w:w="1440"/>
          </w:tcPr>
          <w:p>
            <w:r>
              <w:rPr>
                <w:rFonts w:ascii="Calibri" w:hAnsi="Calibri"/>
                <w:sz w:val="22"/>
              </w:rPr>
              <w:t>Director compensation grant</w:t>
            </w:r>
          </w:p>
        </w:tc>
      </w:tr>
      <w:tr>
        <w:tc>
          <w:tcPr>
            <w:tcW w:type="dxa" w:w="1440"/>
          </w:tcPr>
          <w:p>
            <w:r>
              <w:rPr>
                <w:rFonts w:ascii="Calibri" w:hAnsi="Calibri"/>
                <w:sz w:val="22"/>
              </w:rPr>
              <w:t>Regnery, David S</w:t>
            </w:r>
          </w:p>
        </w:tc>
        <w:tc>
          <w:tcPr>
            <w:tcW w:type="dxa" w:w="1440"/>
          </w:tcPr>
          <w:p>
            <w:r>
              <w:rPr>
                <w:rFonts w:ascii="Calibri" w:hAnsi="Calibri"/>
                <w:sz w:val="22"/>
              </w:rPr>
              <w:t>Director</w:t>
            </w:r>
          </w:p>
        </w:tc>
        <w:tc>
          <w:tcPr>
            <w:tcW w:type="dxa" w:w="1440"/>
          </w:tcPr>
          <w:p>
            <w:r>
              <w:rPr>
                <w:rFonts w:ascii="Calibri" w:hAnsi="Calibri"/>
                <w:sz w:val="22"/>
              </w:rPr>
              <w:t>Award (A) — Common Stock</w:t>
            </w:r>
          </w:p>
        </w:tc>
        <w:tc>
          <w:tcPr>
            <w:tcW w:type="dxa" w:w="1440"/>
          </w:tcPr>
          <w:p>
            <w:r>
              <w:rPr>
                <w:rFonts w:ascii="Calibri" w:hAnsi="Calibri"/>
                <w:sz w:val="22"/>
              </w:rPr>
              <w:t>128.32 shares</w:t>
            </w:r>
          </w:p>
        </w:tc>
        <w:tc>
          <w:tcPr>
            <w:tcW w:type="dxa" w:w="1440"/>
          </w:tcPr>
          <w:p>
            <w:r>
              <w:rPr>
                <w:rFonts w:ascii="Calibri" w:hAnsi="Calibri"/>
                <w:sz w:val="22"/>
              </w:rPr>
              <w:t>Jul 1, 2026</w:t>
            </w:r>
          </w:p>
        </w:tc>
        <w:tc>
          <w:tcPr>
            <w:tcW w:type="dxa" w:w="1440"/>
          </w:tcPr>
          <w:p>
            <w:r>
              <w:rPr>
                <w:rFonts w:ascii="Calibri" w:hAnsi="Calibri"/>
                <w:sz w:val="22"/>
              </w:rPr>
              <w:t>Director compensation grant</w:t>
            </w:r>
          </w:p>
        </w:tc>
      </w:tr>
      <w:tr>
        <w:tc>
          <w:tcPr>
            <w:tcW w:type="dxa" w:w="1440"/>
          </w:tcPr>
          <w:p>
            <w:r>
              <w:rPr>
                <w:rFonts w:ascii="Calibri" w:hAnsi="Calibri"/>
                <w:sz w:val="22"/>
              </w:rPr>
              <w:t>Zamarro, Christina L</w:t>
            </w:r>
          </w:p>
        </w:tc>
        <w:tc>
          <w:tcPr>
            <w:tcW w:type="dxa" w:w="1440"/>
          </w:tcPr>
          <w:p>
            <w:r>
              <w:rPr>
                <w:rFonts w:ascii="Calibri" w:hAnsi="Calibri"/>
                <w:sz w:val="22"/>
              </w:rPr>
              <w:t>Director</w:t>
            </w:r>
          </w:p>
        </w:tc>
        <w:tc>
          <w:tcPr>
            <w:tcW w:type="dxa" w:w="1440"/>
          </w:tcPr>
          <w:p>
            <w:r>
              <w:rPr>
                <w:rFonts w:ascii="Calibri" w:hAnsi="Calibri"/>
                <w:sz w:val="22"/>
              </w:rPr>
              <w:t>Award (A) — Common Stock</w:t>
            </w:r>
          </w:p>
        </w:tc>
        <w:tc>
          <w:tcPr>
            <w:tcW w:type="dxa" w:w="1440"/>
          </w:tcPr>
          <w:p>
            <w:r>
              <w:rPr>
                <w:rFonts w:ascii="Calibri" w:hAnsi="Calibri"/>
                <w:sz w:val="22"/>
              </w:rPr>
              <w:t>128.32 shares</w:t>
            </w:r>
          </w:p>
        </w:tc>
        <w:tc>
          <w:tcPr>
            <w:tcW w:type="dxa" w:w="1440"/>
          </w:tcPr>
          <w:p>
            <w:r>
              <w:rPr>
                <w:rFonts w:ascii="Calibri" w:hAnsi="Calibri"/>
                <w:sz w:val="22"/>
              </w:rPr>
              <w:t>Jul 1, 2026</w:t>
            </w:r>
          </w:p>
        </w:tc>
        <w:tc>
          <w:tcPr>
            <w:tcW w:type="dxa" w:w="1440"/>
          </w:tcPr>
          <w:p>
            <w:r>
              <w:rPr>
                <w:rFonts w:ascii="Calibri" w:hAnsi="Calibri"/>
                <w:sz w:val="22"/>
              </w:rPr>
              <w:t>Director compensation grant</w:t>
            </w:r>
          </w:p>
        </w:tc>
      </w:tr>
      <w:tr>
        <w:tc>
          <w:tcPr>
            <w:tcW w:type="dxa" w:w="1440"/>
          </w:tcPr>
          <w:p>
            <w:r>
              <w:rPr>
                <w:rFonts w:ascii="Calibri" w:hAnsi="Calibri"/>
                <w:sz w:val="22"/>
              </w:rPr>
              <w:t>Bailey, Sallie B (+ 8 other directors)</w:t>
            </w:r>
          </w:p>
        </w:tc>
        <w:tc>
          <w:tcPr>
            <w:tcW w:type="dxa" w:w="1440"/>
          </w:tcPr>
          <w:p>
            <w:r>
              <w:rPr>
                <w:rFonts w:ascii="Calibri" w:hAnsi="Calibri"/>
                <w:sz w:val="22"/>
              </w:rPr>
              <w:t>Director (x9)</w:t>
            </w:r>
          </w:p>
        </w:tc>
        <w:tc>
          <w:tcPr>
            <w:tcW w:type="dxa" w:w="1440"/>
          </w:tcPr>
          <w:p>
            <w:r>
              <w:rPr>
                <w:rFonts w:ascii="Calibri" w:hAnsi="Calibri"/>
                <w:sz w:val="22"/>
              </w:rPr>
              <w:t>Award (A) — Common Stock</w:t>
            </w:r>
          </w:p>
        </w:tc>
        <w:tc>
          <w:tcPr>
            <w:tcW w:type="dxa" w:w="1440"/>
          </w:tcPr>
          <w:p>
            <w:r>
              <w:rPr>
                <w:rFonts w:ascii="Calibri" w:hAnsi="Calibri"/>
                <w:sz w:val="22"/>
              </w:rPr>
              <w:t>661 shares each</w:t>
            </w:r>
          </w:p>
        </w:tc>
        <w:tc>
          <w:tcPr>
            <w:tcW w:type="dxa" w:w="1440"/>
          </w:tcPr>
          <w:p>
            <w:r>
              <w:rPr>
                <w:rFonts w:ascii="Calibri" w:hAnsi="Calibri"/>
                <w:sz w:val="22"/>
              </w:rPr>
              <w:t>May 11, 2026</w:t>
            </w:r>
          </w:p>
        </w:tc>
        <w:tc>
          <w:tcPr>
            <w:tcW w:type="dxa" w:w="1440"/>
          </w:tcPr>
          <w:p>
            <w:r>
              <w:rPr>
                <w:rFonts w:ascii="Calibri" w:hAnsi="Calibri"/>
                <w:sz w:val="22"/>
              </w:rPr>
              <w:t>Annual director equity compensation grants; routine</w:t>
            </w:r>
          </w:p>
        </w:tc>
      </w:tr>
      <w:tr>
        <w:tc>
          <w:tcPr>
            <w:tcW w:type="dxa" w:w="1440"/>
          </w:tcPr>
          <w:p>
            <w:r>
              <w:rPr>
                <w:rFonts w:ascii="Calibri" w:hAnsi="Calibri"/>
                <w:sz w:val="22"/>
              </w:rPr>
              <w:t>Mehta, Samir</w:t>
            </w:r>
          </w:p>
        </w:tc>
        <w:tc>
          <w:tcPr>
            <w:tcW w:type="dxa" w:w="1440"/>
          </w:tcPr>
          <w:p>
            <w:r>
              <w:rPr>
                <w:rFonts w:ascii="Calibri" w:hAnsi="Calibri"/>
                <w:sz w:val="22"/>
              </w:rPr>
              <w:t>Pres., Space &amp; Mission Systems</w:t>
            </w:r>
          </w:p>
        </w:tc>
        <w:tc>
          <w:tcPr>
            <w:tcW w:type="dxa" w:w="1440"/>
          </w:tcPr>
          <w:p>
            <w:r>
              <w:rPr>
                <w:rFonts w:ascii="Calibri" w:hAnsi="Calibri"/>
                <w:sz w:val="22"/>
              </w:rPr>
              <w:t>Award (A) — RSUs</w:t>
            </w:r>
          </w:p>
        </w:tc>
        <w:tc>
          <w:tcPr>
            <w:tcW w:type="dxa" w:w="1440"/>
          </w:tcPr>
          <w:p>
            <w:r>
              <w:rPr>
                <w:rFonts w:ascii="Calibri" w:hAnsi="Calibri"/>
                <w:sz w:val="22"/>
              </w:rPr>
              <w:t>3,192 RSUs</w:t>
            </w:r>
          </w:p>
        </w:tc>
        <w:tc>
          <w:tcPr>
            <w:tcW w:type="dxa" w:w="1440"/>
          </w:tcPr>
          <w:p>
            <w:r>
              <w:rPr>
                <w:rFonts w:ascii="Calibri" w:hAnsi="Calibri"/>
                <w:sz w:val="22"/>
              </w:rPr>
              <w:t>May 1, 2026</w:t>
            </w:r>
          </w:p>
        </w:tc>
        <w:tc>
          <w:tcPr>
            <w:tcW w:type="dxa" w:w="1440"/>
          </w:tcPr>
          <w:p>
            <w:r>
              <w:rPr>
                <w:rFonts w:ascii="Calibri" w:hAnsi="Calibri"/>
                <w:sz w:val="22"/>
              </w:rPr>
              <w:t>Compensation grant; not a discretionary buy</w:t>
            </w:r>
          </w:p>
        </w:tc>
      </w:tr>
      <w:tr>
        <w:tc>
          <w:tcPr>
            <w:tcW w:type="dxa" w:w="1440"/>
          </w:tcPr>
          <w:p>
            <w:r>
              <w:rPr>
                <w:rFonts w:ascii="Calibri" w:hAnsi="Calibri"/>
                <w:sz w:val="22"/>
              </w:rPr>
              <w:t>Rakita, Melanie</w:t>
            </w:r>
          </w:p>
        </w:tc>
        <w:tc>
          <w:tcPr>
            <w:tcW w:type="dxa" w:w="1440"/>
          </w:tcPr>
          <w:p>
            <w:r>
              <w:rPr>
                <w:rFonts w:ascii="Calibri" w:hAnsi="Calibri"/>
                <w:sz w:val="22"/>
              </w:rPr>
              <w:t>VP &amp; CHRO</w:t>
            </w:r>
          </w:p>
        </w:tc>
        <w:tc>
          <w:tcPr>
            <w:tcW w:type="dxa" w:w="1440"/>
          </w:tcPr>
          <w:p>
            <w:r>
              <w:rPr>
                <w:rFonts w:ascii="Calibri" w:hAnsi="Calibri"/>
                <w:sz w:val="22"/>
              </w:rPr>
              <w:t>10b5-1 Planned Sale (S) + Tax Withholding (F)</w:t>
            </w:r>
          </w:p>
        </w:tc>
        <w:tc>
          <w:tcPr>
            <w:tcW w:type="dxa" w:w="1440"/>
          </w:tcPr>
          <w:p>
            <w:r>
              <w:rPr>
                <w:rFonts w:ascii="Calibri" w:hAnsi="Calibri"/>
                <w:sz w:val="22"/>
              </w:rPr>
              <w:t>2,180 shares sold; 1,416 withheld</w:t>
            </w:r>
          </w:p>
        </w:tc>
        <w:tc>
          <w:tcPr>
            <w:tcW w:type="dxa" w:w="1440"/>
          </w:tcPr>
          <w:p>
            <w:r>
              <w:rPr>
                <w:rFonts w:ascii="Calibri" w:hAnsi="Calibri"/>
                <w:sz w:val="22"/>
              </w:rPr>
              <w:t>May 1–5, 2026</w:t>
            </w:r>
          </w:p>
        </w:tc>
        <w:tc>
          <w:tcPr>
            <w:tcW w:type="dxa" w:w="1440"/>
          </w:tcPr>
          <w:p>
            <w:r>
              <w:rPr>
                <w:rFonts w:ascii="Calibri" w:hAnsi="Calibri"/>
                <w:sz w:val="22"/>
              </w:rPr>
              <w:t>10b5-1 plan sale upon RSU vest; tax withholding; not discretionary</w:t>
            </w:r>
          </w:p>
        </w:tc>
      </w:tr>
      <w:tr>
        <w:tc>
          <w:tcPr>
            <w:tcW w:type="dxa" w:w="1440"/>
          </w:tcPr>
          <w:p>
            <w:r>
              <w:rPr>
                <w:rFonts w:ascii="Calibri" w:hAnsi="Calibri"/>
                <w:sz w:val="22"/>
              </w:rPr>
              <w:t>Sharp, Kenneth P</w:t>
            </w:r>
          </w:p>
        </w:tc>
        <w:tc>
          <w:tcPr>
            <w:tcW w:type="dxa" w:w="1440"/>
          </w:tcPr>
          <w:p>
            <w:r>
              <w:rPr>
                <w:rFonts w:ascii="Calibri" w:hAnsi="Calibri"/>
                <w:sz w:val="22"/>
              </w:rPr>
              <w:t>SVP &amp; CFO</w:t>
            </w:r>
          </w:p>
        </w:tc>
        <w:tc>
          <w:tcPr>
            <w:tcW w:type="dxa" w:w="1440"/>
          </w:tcPr>
          <w:p>
            <w:r>
              <w:rPr>
                <w:rFonts w:ascii="Calibri" w:hAnsi="Calibri"/>
                <w:sz w:val="22"/>
              </w:rPr>
              <w:t>Award (A) — RSUs + Stock Options</w:t>
            </w:r>
          </w:p>
        </w:tc>
        <w:tc>
          <w:tcPr>
            <w:tcW w:type="dxa" w:w="1440"/>
          </w:tcPr>
          <w:p>
            <w:r>
              <w:rPr>
                <w:rFonts w:ascii="Calibri" w:hAnsi="Calibri"/>
                <w:sz w:val="22"/>
              </w:rPr>
              <w:t>2,593 RSUs; 10,021 options; 11,169 RSUs</w:t>
            </w:r>
          </w:p>
        </w:tc>
        <w:tc>
          <w:tcPr>
            <w:tcW w:type="dxa" w:w="1440"/>
          </w:tcPr>
          <w:p>
            <w:r>
              <w:rPr>
                <w:rFonts w:ascii="Calibri" w:hAnsi="Calibri"/>
                <w:sz w:val="22"/>
              </w:rPr>
              <w:t>May 1, 2026</w:t>
            </w:r>
          </w:p>
        </w:tc>
        <w:tc>
          <w:tcPr>
            <w:tcW w:type="dxa" w:w="1440"/>
          </w:tcPr>
          <w:p>
            <w:r>
              <w:rPr>
                <w:rFonts w:ascii="Calibri" w:hAnsi="Calibri"/>
                <w:sz w:val="22"/>
              </w:rPr>
              <w:t>New CFO onboarding equity grants; not a discretionary buy</w:t>
            </w:r>
          </w:p>
        </w:tc>
      </w:tr>
    </w:tbl>
    <w:p>
      <w:r>
        <w:rPr>
          <w:rFonts w:ascii="Calibri" w:hAnsi="Calibri"/>
          <w:b/>
          <w:color w:val="525866"/>
          <w:sz w:val="22"/>
        </w:rPr>
        <w:t xml:space="preserve">Summary: </w:t>
      </w:r>
      <w:r>
        <w:rPr>
          <w:rFonts w:ascii="Calibri" w:hAnsi="Calibri"/>
          <w:color w:val="525866"/>
          <w:sz w:val="22"/>
        </w:rPr>
        <w:t>All transactions in the period are compensation-related (grants, RSU vesting, 10b5-1 planned sales, tax withholding). There are no open-market discretionary buys or sells. The absence of insider selling is a mild positive signal. The July 24 Sustainment Awards — $25M in performance-linked equity for CFO Sharp, Missile Solutions President Bedingfield, and SMS/CSD President Mehta, tied to organic revenue growth and segment margins through FY 2029 — are the most meaningful insider signal: management is being incentivized to deliver on the long-term growth thesis.</w:t>
      </w:r>
    </w:p>
    <w:p>
      <w:r>
        <w:rPr>
          <w:rFonts w:ascii="Calibri" w:hAnsi="Calibri"/>
          <w:i/>
          <w:color w:val="525866"/>
          <w:sz w:val="22"/>
        </w:rPr>
        <w:t>Source: Insider Transaction Data (SEC Form 4 filings); L3Harris 8-K (July 24,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