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ii-earnings-predictions--2026-07-29"/>
    <w:p>
      <w:pPr>
        <w:pStyle w:val="Heading1"/>
      </w:pPr>
      <w:r>
        <w:t xml:space="preserve">LII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7.78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HCS Segment Margin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~24.0% vs. cons ~23.2%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24.00</m:t>
              </m:r>
              <m:r>
                <m:rPr>
                  <m:sty m:val="p"/>
                </m:rPr>
                <m:t>−</m:t>
              </m:r>
            </m:oMath>
            <w:r>
              <w:t xml:space="preserve">25.00 (narrowed to upper half) vs. cons ~$24.30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vs. cons ~8%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Cost Inflation Assumption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~3-3.5% (down from ~5% at Q1 on tariff relief) vs. cons ~5% prior assumption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Beat plus tariff-driven cost relief is largely already known/priced (June 232 tariff cut, Carrier's Q2 beat-and-raise the day before), so the initial pop reflects confirmation rather than new information. With FY guidance reaffirmed rather than raised despite the favorable tariff shift, sell-side models likely already embed most of the good news; residual H2 uncertainty (new-construction drag, elevated non-tariff commodity costs, litigation overhang) plus a stock that ran up into the print (~5% pullback from highs but still near 52-week highs) sets up partial giveback over the week as short-term buyers take profits and estimate revisions normalize rather than extend.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2026-07-29T00:52:01Z</dcterms:created>
  <dcterms:modified xsi:type="dcterms:W3CDTF">2026-07-29T00:52:01Z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