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i-earnings-predictions--2026-07-29"/>
    <w:p>
      <w:pPr>
        <w:pStyle w:val="Heading1"/>
      </w:pPr>
      <w:r>
        <w:t xml:space="preserve">LII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~$1.585B vs. cons $1.560B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~$7.78 vs. cons $7.64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segment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~23.1% vs. cons 22.8%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~$24.25 vs. cons $24.43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~8.0% vs. cons 8.1%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~$800M vs. cons $805M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(FADE)</w:t>
            </w:r>
          </w:p>
        </w:tc>
        <w:tc>
          <w:tcPr/>
          <w:p>
            <w:pPr>
              <w:pStyle w:val="Compact"/>
            </w:pPr>
            <w:r>
              <w:t xml:space="preserve">Day-5 residual ~+1.8% vs. day-1 residual +3.2%: a Q2 beat and improving HCS absorption support the initial gain, but unchanged FY2026 guidance with its ~$24.25 midpoint below the $24.43 consensus limits estimate revisions as tariff and price-cost pressure shifts into Q3 and Q4.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2026-07-29T00:50:59Z</dcterms:created>
  <dcterms:modified xsi:type="dcterms:W3CDTF">2026-07-29T00:50:59Z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