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f498c30f20395a6029a562ecc1ca6df4639ff8"/>
    <w:p>
      <w:pPr>
        <w:pStyle w:val="Heading1"/>
      </w:pPr>
      <w:r>
        <w:t xml:space="preserve">Lennox International (LII) — Q2 2026 Earnings Preview</w:t>
      </w:r>
    </w:p>
    <w:p>
      <w:pPr>
        <w:pStyle w:val="BlockText"/>
      </w:pPr>
      <w:r>
        <w:rPr>
          <w:b/>
          <w:bCs/>
        </w:rPr>
        <w:t xml:space="preserve">Date correction:</w:t>
      </w:r>
      <w:r>
        <w:t xml:space="preserve"> </w:t>
      </w:r>
      <w:r>
        <w:t xml:space="preserve">Lennox is scheduled to report</w:t>
      </w:r>
      <w:r>
        <w:t xml:space="preserve"> </w:t>
      </w:r>
      <w:r>
        <w:rPr>
          <w:b/>
          <w:bCs/>
        </w:rPr>
        <w:t xml:space="preserve">today, Wednesday, July 29, 2026, before the market opens</w:t>
      </w:r>
      <w:r>
        <w:t xml:space="preserve">, with its conference call at</w:t>
      </w:r>
      <w:r>
        <w:t xml:space="preserve"> </w:t>
      </w:r>
      <w:r>
        <w:rPr>
          <w:b/>
          <w:bCs/>
        </w:rPr>
        <w:t xml:space="preserve">8:30 a.m. Central / 9:30 a.m. Eastern</w:t>
      </w:r>
      <w:r>
        <w:t xml:space="preserve">—not tomorrow. (</w:t>
      </w:r>
      <w:hyperlink r:id="rId9">
        <w:r>
          <w:rPr>
            <w:rStyle w:val="Hyperlink"/>
          </w:rPr>
          <w:t xml:space="preserve">investor.lennox.com</w:t>
        </w:r>
      </w:hyperlink>
      <w:r>
        <w:t xml:space="preserve">)</w:t>
      </w:r>
    </w:p>
    <w:bookmarkStart w:id="11" w:name="earnings-snapshot"/>
    <w:p>
      <w:pPr>
        <w:pStyle w:val="Heading2"/>
      </w:pPr>
      <w:r>
        <w:t xml:space="preserve">Earnings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YoY</w:t>
            </w:r>
          </w:p>
        </w:tc>
      </w:tr>
      <w:tr>
        <w:tc>
          <w:tcPr/>
          <w:p>
            <w:pPr>
              <w:pStyle w:val="Compact"/>
            </w:pPr>
            <w:r>
              <w:t xml:space="preserve">Revenue</w:t>
            </w:r>
          </w:p>
        </w:tc>
        <w:tc>
          <w:tcPr/>
          <w:p>
            <w:pPr>
              <w:pStyle w:val="Compact"/>
              <w:jc w:val="right"/>
            </w:pPr>
            <w:r>
              <w:t xml:space="preserve">Approximately</w:t>
            </w:r>
            <w:r>
              <w:t xml:space="preserve"> </w:t>
            </w:r>
            <w:r>
              <w:rPr>
                <w:b/>
                <w:bCs/>
              </w:rPr>
              <w:t xml:space="preserve">$1.56B</w:t>
            </w:r>
          </w:p>
        </w:tc>
        <w:tc>
          <w:tcPr/>
          <w:p>
            <w:pPr>
              <w:pStyle w:val="Compact"/>
              <w:jc w:val="right"/>
            </w:pPr>
            <w:r>
              <w:rPr>
                <w:b/>
                <w:bCs/>
              </w:rPr>
              <w:t xml:space="preserve">$1.50B</w:t>
            </w:r>
          </w:p>
        </w:tc>
        <w:tc>
          <w:tcPr/>
          <w:p>
            <w:pPr>
              <w:pStyle w:val="Compact"/>
              <w:jc w:val="right"/>
            </w:pPr>
            <w:r>
              <w:t xml:space="preserve">Approximately</w:t>
            </w:r>
            <w:r>
              <w:t xml:space="preserve"> </w:t>
            </w:r>
            <w:r>
              <w:rPr>
                <w:b/>
                <w:bCs/>
              </w:rPr>
              <w:t xml:space="preserve">+4%</w:t>
            </w:r>
          </w:p>
        </w:tc>
      </w:tr>
      <w:tr>
        <w:tc>
          <w:tcPr/>
          <w:p>
            <w:pPr>
              <w:pStyle w:val="Compact"/>
            </w:pPr>
            <w:r>
              <w:t xml:space="preserve">Adjusted EPS</w:t>
            </w:r>
          </w:p>
        </w:tc>
        <w:tc>
          <w:tcPr/>
          <w:p>
            <w:pPr>
              <w:pStyle w:val="Compact"/>
              <w:jc w:val="right"/>
            </w:pPr>
            <w:r>
              <w:rPr>
                <w:b/>
                <w:bCs/>
              </w:rPr>
              <w:t xml:space="preserve">$7.64</w:t>
            </w:r>
          </w:p>
        </w:tc>
        <w:tc>
          <w:tcPr/>
          <w:p>
            <w:pPr>
              <w:pStyle w:val="Compact"/>
              <w:jc w:val="right"/>
            </w:pPr>
            <w:r>
              <w:rPr>
                <w:b/>
                <w:bCs/>
              </w:rPr>
              <w:t xml:space="preserve">$7.82</w:t>
            </w:r>
          </w:p>
        </w:tc>
        <w:tc>
          <w:tcPr/>
          <w:p>
            <w:pPr>
              <w:pStyle w:val="Compact"/>
              <w:jc w:val="right"/>
            </w:pPr>
            <w:r>
              <w:t xml:space="preserve">Approximately</w:t>
            </w:r>
            <w:r>
              <w:t xml:space="preserve"> </w:t>
            </w:r>
            <w:r>
              <w:rPr>
                <w:b/>
                <w:bCs/>
              </w:rPr>
              <w:t xml:space="preserve">-2%</w:t>
            </w:r>
          </w:p>
        </w:tc>
      </w:tr>
      <w:tr>
        <w:tc>
          <w:tcPr/>
          <w:p>
            <w:pPr>
              <w:pStyle w:val="Compact"/>
            </w:pPr>
            <w:r>
              <w:t xml:space="preserve">FY2026 adjusted EPS</w:t>
            </w:r>
          </w:p>
        </w:tc>
        <w:tc>
          <w:tcPr/>
          <w:p>
            <w:pPr>
              <w:pStyle w:val="Compact"/>
              <w:jc w:val="right"/>
            </w:pPr>
            <w:r>
              <w:rPr>
                <w:b/>
                <w:bCs/>
              </w:rPr>
              <w:t xml:space="preserve">$24.43</w:t>
            </w:r>
          </w:p>
        </w:tc>
        <w:tc>
          <w:tcPr/>
          <w:p>
            <w:pPr>
              <w:pStyle w:val="Compact"/>
              <w:jc w:val="right"/>
            </w:pPr>
            <w:r>
              <w:t xml:space="preserve">Company guidance:</w:t>
            </w:r>
            <w:r>
              <w:t xml:space="preserve"> </w:t>
            </w:r>
            <m:oMath>
              <m:r>
                <m:t>23.50</m:t>
              </m:r>
              <m:r>
                <m:rPr>
                  <m:sty m:val="p"/>
                </m:rPr>
                <m:t>–</m:t>
              </m:r>
            </m:oMath>
            <w:r>
              <w:rPr>
                <w:b/>
                <w:bCs/>
              </w:rPr>
              <w:t xml:space="preserve">25.00</w:t>
            </w:r>
          </w:p>
        </w:tc>
        <w:tc>
          <w:tcPr/>
          <w:p>
            <w:pPr>
              <w:pStyle w:val="Compact"/>
              <w:jc w:val="right"/>
            </w:pPr>
            <w:r>
              <w:t xml:space="preserve">—</w:t>
            </w:r>
          </w:p>
        </w:tc>
      </w:tr>
    </w:tbl>
    <w:p>
      <w:pPr>
        <w:pStyle w:val="BodyText"/>
      </w:pPr>
      <w:r>
        <w:t xml:space="preserve">The EPS consensus range is fairly wide at</w:t>
      </w:r>
      <w:r>
        <w:t xml:space="preserve"> </w:t>
      </w:r>
      <m:oMath>
        <m:r>
          <m:t>7.44</m:t>
        </m:r>
        <m:r>
          <m:rPr>
            <m:sty m:val="p"/>
          </m:rPr>
          <m:t>–</m:t>
        </m:r>
      </m:oMath>
      <w:r>
        <w:rPr>
          <w:b/>
          <w:bCs/>
        </w:rPr>
        <w:t xml:space="preserve">7.98</w:t>
      </w:r>
      <w:r>
        <w:t xml:space="preserve">, reflecting uncertainty around residential volume, factory absorption and tariff-related costs. The full-year consensus of $24.43 sits slightly above the midpoint of management’s range, suggesting investors already expect Lennox to land in the upper half of guidance. (</w:t>
      </w:r>
      <w:hyperlink r:id="rId10">
        <w:r>
          <w:rPr>
            <w:rStyle w:val="Hyperlink"/>
          </w:rPr>
          <w:t xml:space="preserve">barchart.com</w:t>
        </w:r>
      </w:hyperlink>
      <w:r>
        <w:t xml:space="preserve">)</w:t>
      </w:r>
    </w:p>
    <w:p>
      <w:pPr>
        <w:pStyle w:val="BodyText"/>
      </w:pPr>
      <w:r>
        <w:t xml:space="preserve">Using the July 28 closing price of</w:t>
      </w:r>
      <w:r>
        <w:t xml:space="preserve"> </w:t>
      </w:r>
      <w:r>
        <w:rPr>
          <w:b/>
          <w:bCs/>
        </w:rPr>
        <w:t xml:space="preserve">$544.15</w:t>
      </w:r>
      <w:r>
        <w:t xml:space="preserve">, LII trades at roughly</w:t>
      </w:r>
      <w:r>
        <w:t xml:space="preserve"> </w:t>
      </w:r>
      <w:r>
        <w:rPr>
          <w:b/>
          <w:bCs/>
        </w:rPr>
        <w:t xml:space="preserve">22.3 times</w:t>
      </w:r>
      <w:r>
        <w:t xml:space="preserve"> </w:t>
      </w:r>
      <w:r>
        <w:t xml:space="preserve">the current FY2026 EPS consensus. The stock is up about</w:t>
      </w:r>
      <w:r>
        <w:t xml:space="preserve"> </w:t>
      </w:r>
      <w:r>
        <w:rPr>
          <w:b/>
          <w:bCs/>
        </w:rPr>
        <w:t xml:space="preserve">9% year to date</w:t>
      </w:r>
      <w:r>
        <w:t xml:space="preserve">, although it has pulled back approximately 5% from its late-June high. That valuation leaves room for a solid report, but likely not for a material deterioration in the second-half outlook.</w:t>
      </w:r>
    </w:p>
    <w:bookmarkEnd w:id="11"/>
    <w:bookmarkStart w:id="14" w:name="Xa46263694226e4463b002d5a1a9698e02f1f7f3"/>
    <w:p>
      <w:pPr>
        <w:pStyle w:val="Heading2"/>
      </w:pPr>
      <w:r>
        <w:t xml:space="preserve">The central question: Has Home Comfort genuinely turned?</w:t>
      </w:r>
    </w:p>
    <w:p>
      <w:pPr>
        <w:pStyle w:val="FirstParagraph"/>
      </w:pPr>
      <w:r>
        <w:t xml:space="preserve">Lennox’s first quarter established a sharp divergence between its two businesses:</w:t>
      </w:r>
    </w:p>
    <w:p>
      <w:pPr>
        <w:pStyle w:val="Compact"/>
        <w:numPr>
          <w:ilvl w:val="0"/>
          <w:numId w:val="1001"/>
        </w:numPr>
      </w:pPr>
      <w:r>
        <w:rPr>
          <w:b/>
          <w:bCs/>
        </w:rPr>
        <w:t xml:space="preserve">Home Comfort Solutions, or HCS:</w:t>
      </w:r>
      <w:r>
        <w:t xml:space="preserve"> </w:t>
      </w:r>
      <w:r>
        <w:t xml:space="preserve">Revenue declined 10%, with organic volumes down 21%.</w:t>
      </w:r>
    </w:p>
    <w:p>
      <w:pPr>
        <w:pStyle w:val="Compact"/>
        <w:numPr>
          <w:ilvl w:val="0"/>
          <w:numId w:val="1001"/>
        </w:numPr>
      </w:pPr>
      <w:r>
        <w:rPr>
          <w:b/>
          <w:bCs/>
        </w:rPr>
        <w:t xml:space="preserve">Building Climate Solutions, or BCS:</w:t>
      </w:r>
      <w:r>
        <w:t xml:space="preserve"> </w:t>
      </w:r>
      <w:r>
        <w:t xml:space="preserve">Revenue rose 38%, including 26% organic growth, and segment margin reached 19.7%.</w:t>
      </w:r>
    </w:p>
    <w:p>
      <w:pPr>
        <w:pStyle w:val="Compact"/>
        <w:numPr>
          <w:ilvl w:val="0"/>
          <w:numId w:val="1001"/>
        </w:numPr>
      </w:pPr>
      <w:r>
        <w:t xml:space="preserve">Enterprise segment margin fell 130 basis points to 14.4%, primarily because lower production created roughly $15 million of factory under-absorption.</w:t>
      </w:r>
    </w:p>
    <w:p>
      <w:pPr>
        <w:pStyle w:val="FirstParagraph"/>
      </w:pPr>
      <w:r>
        <w:t xml:space="preserve">Management characterized HCS as stabilizing rather than recovering. Two-step distributors had begun restocking ahead of the cooling season, but the direct, one-step channel remained pressured by weak residential construction and cautious consumers. Management also said Q2 would retain some under-absorption, although inventory normalization should be completed by quarter-end.</w:t>
      </w:r>
    </w:p>
    <w:p>
      <w:pPr>
        <w:pStyle w:val="BodyText"/>
      </w:pPr>
      <w:r>
        <w:t xml:space="preserve">Accordingly, the most important data point is not whether consolidated revenue beats by a few percentage points. It is whether</w:t>
      </w:r>
      <w:r>
        <w:t xml:space="preserve"> </w:t>
      </w:r>
      <w:r>
        <w:rPr>
          <w:b/>
          <w:bCs/>
        </w:rPr>
        <w:t xml:space="preserve">HCS organic volume improved convincingly from Q1’s 21% decline</w:t>
      </w:r>
      <w:r>
        <w:t xml:space="preserve"> </w:t>
      </w:r>
      <w:r>
        <w:t xml:space="preserve">and whether dealer restocking is being supported by end-market sell-through.</w:t>
      </w:r>
    </w:p>
    <w:p>
      <w:pPr>
        <w:pStyle w:val="BodyText"/>
      </w:pPr>
      <w:r>
        <w:t xml:space="preserve">A favorable read-through arrived from Carrier on July 28. Carrier reported North American residential sales up 9% and light-commercial sales up 10%, described channel inventory as healthy and said residential replacement conditions were improving. However, Carrier’s Americas margin still fell 260 basis points because of input costs and unfavorable mix. That combination—better demand but continued margin pressure—is probably the most relevant external benchmark for Lennox. (</w:t>
      </w:r>
      <w:hyperlink r:id="rId12">
        <w:r>
          <w:rPr>
            <w:rStyle w:val="Hyperlink"/>
          </w:rPr>
          <w:t xml:space="preserve">ir.carrier.com</w:t>
        </w:r>
      </w:hyperlink>
      <w:r>
        <w:t xml:space="preserve">)</w:t>
      </w:r>
    </w:p>
    <w:bookmarkStart w:id="13" w:name="what-would-constitute-a-good-hcs-result"/>
    <w:p>
      <w:pPr>
        <w:pStyle w:val="Heading3"/>
      </w:pPr>
      <w:r>
        <w:t xml:space="preserve">What would constitute a good HCS result?</w:t>
      </w:r>
    </w:p>
    <w:p>
      <w:pPr>
        <w:pStyle w:val="FirstParagraph"/>
      </w:pPr>
      <w:r>
        <w:t xml:space="preserve">Investors should look for:</w:t>
      </w:r>
    </w:p>
    <w:p>
      <w:pPr>
        <w:pStyle w:val="Compact"/>
        <w:numPr>
          <w:ilvl w:val="0"/>
          <w:numId w:val="1002"/>
        </w:numPr>
      </w:pPr>
      <w:r>
        <w:rPr>
          <w:b/>
          <w:bCs/>
        </w:rPr>
        <w:t xml:space="preserve">A substantial sequential improvement in organic volume.</w:t>
      </w:r>
    </w:p>
    <w:p>
      <w:pPr>
        <w:pStyle w:val="Compact"/>
        <w:numPr>
          <w:ilvl w:val="0"/>
          <w:numId w:val="1002"/>
        </w:numPr>
      </w:pPr>
      <w:r>
        <w:t xml:space="preserve">Evidence that two-step restocking reflects actual equipment movement rather than precautionary inventory accumulation.</w:t>
      </w:r>
    </w:p>
    <w:p>
      <w:pPr>
        <w:pStyle w:val="Compact"/>
        <w:numPr>
          <w:ilvl w:val="0"/>
          <w:numId w:val="1002"/>
        </w:numPr>
      </w:pPr>
      <w:r>
        <w:t xml:space="preserve">Continued normalization in repair-versus-replace behavior.</w:t>
      </w:r>
    </w:p>
    <w:p>
      <w:pPr>
        <w:pStyle w:val="Compact"/>
        <w:numPr>
          <w:ilvl w:val="0"/>
          <w:numId w:val="1002"/>
        </w:numPr>
      </w:pPr>
      <w:r>
        <w:t xml:space="preserve">HCS revenue no worse than management’s prior expectation for a low-single-digit decline.</w:t>
      </w:r>
    </w:p>
    <w:p>
      <w:pPr>
        <w:pStyle w:val="Compact"/>
        <w:numPr>
          <w:ilvl w:val="0"/>
          <w:numId w:val="1002"/>
        </w:numPr>
      </w:pPr>
      <w:r>
        <w:t xml:space="preserve">A clear statement that factory under-absorption is now largely behind the company.</w:t>
      </w:r>
    </w:p>
    <w:p>
      <w:pPr>
        <w:pStyle w:val="FirstParagraph"/>
      </w:pPr>
      <w:r>
        <w:t xml:space="preserve">A revenue beat driven mainly by acquisitions, refrigerant-related mix or price would be less valuable than a modest beat accompanied by improving unit volumes.</w:t>
      </w:r>
    </w:p>
    <w:bookmarkEnd w:id="13"/>
    <w:bookmarkEnd w:id="14"/>
    <w:bookmarkStart w:id="16" w:name="X60cc357ca48c0f86934547b925f6f6f44df9a36"/>
    <w:p>
      <w:pPr>
        <w:pStyle w:val="Heading2"/>
      </w:pPr>
      <w:r>
        <w:t xml:space="preserve">Margin recovery is the key earnings variable</w:t>
      </w:r>
    </w:p>
    <w:p>
      <w:pPr>
        <w:pStyle w:val="FirstParagraph"/>
      </w:pPr>
      <w:r>
        <w:t xml:space="preserve">Q2 is Lennox’s largest seasonal earnings quarter, but the comparison is demanding. In Q2 2025, the company produced a record</w:t>
      </w:r>
      <w:r>
        <w:t xml:space="preserve"> </w:t>
      </w:r>
      <w:r>
        <w:rPr>
          <w:b/>
          <w:bCs/>
        </w:rPr>
        <w:t xml:space="preserve">23.6% segment margin</w:t>
      </w:r>
      <w:r>
        <w:t xml:space="preserve"> </w:t>
      </w:r>
      <w:r>
        <w:t xml:space="preserve">and $7.82 of adjusted EPS, benefiting from R-454B product mix, pricing and strong productivity. (</w:t>
      </w:r>
      <w:hyperlink r:id="rId15">
        <w:r>
          <w:rPr>
            <w:rStyle w:val="Hyperlink"/>
          </w:rPr>
          <w:t xml:space="preserve">investor.lennox.com</w:t>
        </w:r>
      </w:hyperlink>
      <w:r>
        <w:t xml:space="preserve">)</w:t>
      </w:r>
    </w:p>
    <w:p>
      <w:pPr>
        <w:pStyle w:val="BodyText"/>
      </w:pPr>
      <w:r>
        <w:t xml:space="preserve">Management has argued that Q1 2026’s margin weakness was overwhelmingly attributable to factory under-absorption. That makes Q2 an important test:</w:t>
      </w:r>
    </w:p>
    <w:p>
      <w:pPr>
        <w:pStyle w:val="Compact"/>
        <w:numPr>
          <w:ilvl w:val="0"/>
          <w:numId w:val="1003"/>
        </w:numPr>
      </w:pPr>
      <w:r>
        <w:t xml:space="preserve">If production and inventory have normalized, seasonal volume should drive a meaningful margin rebound.</w:t>
      </w:r>
    </w:p>
    <w:p>
      <w:pPr>
        <w:pStyle w:val="Compact"/>
        <w:numPr>
          <w:ilvl w:val="0"/>
          <w:numId w:val="1003"/>
        </w:numPr>
      </w:pPr>
      <w:r>
        <w:t xml:space="preserve">If HCS margin remains unusually weak, investors may question whether the problem extends beyond temporary absorption.</w:t>
      </w:r>
    </w:p>
    <w:p>
      <w:pPr>
        <w:pStyle w:val="Compact"/>
        <w:numPr>
          <w:ilvl w:val="0"/>
          <w:numId w:val="1003"/>
        </w:numPr>
      </w:pPr>
      <w:r>
        <w:t xml:space="preserve">BCS margins will need to remain resilient as year-over-year comparisons become harder.</w:t>
      </w:r>
    </w:p>
    <w:p>
      <w:pPr>
        <w:pStyle w:val="FirstParagraph"/>
      </w:pPr>
      <w:r>
        <w:t xml:space="preserve">The Street’s expectation for slightly lower EPS despite approximately 4% revenue growth implies that analysts already anticipate some year-over-year margin pressure. Therefore, LII does not necessarily need to match last year’s record margin to beat. It does need to show a credible path to better second-half absorption and incrementals.</w:t>
      </w:r>
    </w:p>
    <w:bookmarkEnd w:id="16"/>
    <w:bookmarkStart w:id="17" w:name="Xf90a3aef5951716356b3c626793ed6f24d500c6"/>
    <w:p>
      <w:pPr>
        <w:pStyle w:val="Heading2"/>
      </w:pPr>
      <w:r>
        <w:t xml:space="preserve">Price-cost and tariffs shift to the second half</w:t>
      </w:r>
    </w:p>
    <w:p>
      <w:pPr>
        <w:pStyle w:val="FirstParagraph"/>
      </w:pPr>
      <w:r>
        <w:t xml:space="preserve">At the Q1 report, Lennox raised its estimated 2026 cost inflation from roughly 2% to</w:t>
      </w:r>
      <w:r>
        <w:t xml:space="preserve"> </w:t>
      </w:r>
      <w:r>
        <w:rPr>
          <w:b/>
          <w:bCs/>
        </w:rPr>
        <w:t xml:space="preserve">5%</w:t>
      </w:r>
      <w:r>
        <w:t xml:space="preserve">, citing tariffs and higher aluminum, steel, copper, fuel and transportation costs. It also announced additional pricing, but management said:</w:t>
      </w:r>
    </w:p>
    <w:p>
      <w:pPr>
        <w:pStyle w:val="Compact"/>
        <w:numPr>
          <w:ilvl w:val="0"/>
          <w:numId w:val="1004"/>
        </w:numPr>
      </w:pPr>
      <w:r>
        <w:t xml:space="preserve">Pricing would begin contributing late in Q2 and primarily benefit the second half.</w:t>
      </w:r>
    </w:p>
    <w:p>
      <w:pPr>
        <w:pStyle w:val="Compact"/>
        <w:numPr>
          <w:ilvl w:val="0"/>
          <w:numId w:val="1004"/>
        </w:numPr>
      </w:pPr>
      <w:r>
        <w:t xml:space="preserve">Because Lennox uses FIFO accounting, much of the newer tariff burden would not enter the income statement until Q3.</w:t>
      </w:r>
    </w:p>
    <w:p>
      <w:pPr>
        <w:pStyle w:val="Compact"/>
        <w:numPr>
          <w:ilvl w:val="0"/>
          <w:numId w:val="1004"/>
        </w:numPr>
      </w:pPr>
      <w:r>
        <w:t xml:space="preserve">Pricing and productivity had not yet fully offset the updated cost outlook.</w:t>
      </w:r>
    </w:p>
    <w:p>
      <w:pPr>
        <w:pStyle w:val="FirstParagraph"/>
      </w:pPr>
      <w:r>
        <w:t xml:space="preserve">This creates a likely timing issue:</w:t>
      </w:r>
      <w:r>
        <w:t xml:space="preserve"> </w:t>
      </w:r>
      <w:r>
        <w:rPr>
          <w:b/>
          <w:bCs/>
        </w:rPr>
        <w:t xml:space="preserve">Q2 could look acceptable while Q3 and Q4 carry the larger price-cost test.</w:t>
      </w:r>
    </w:p>
    <w:p>
      <w:pPr>
        <w:pStyle w:val="BodyText"/>
      </w:pPr>
      <w:r>
        <w:t xml:space="preserve">Questions investors should want answered include:</w:t>
      </w:r>
    </w:p>
    <w:p>
      <w:pPr>
        <w:pStyle w:val="Compact"/>
        <w:numPr>
          <w:ilvl w:val="0"/>
          <w:numId w:val="1005"/>
        </w:numPr>
      </w:pPr>
      <w:r>
        <w:t xml:space="preserve">Does the 5% cost-inflation assumption remain adequate?</w:t>
      </w:r>
    </w:p>
    <w:p>
      <w:pPr>
        <w:pStyle w:val="Compact"/>
        <w:numPr>
          <w:ilvl w:val="0"/>
          <w:numId w:val="1005"/>
        </w:numPr>
      </w:pPr>
      <w:r>
        <w:t xml:space="preserve">Has the latest pricing achieved the expected realization rate?</w:t>
      </w:r>
    </w:p>
    <w:p>
      <w:pPr>
        <w:pStyle w:val="Compact"/>
        <w:numPr>
          <w:ilvl w:val="0"/>
          <w:numId w:val="1005"/>
        </w:numPr>
      </w:pPr>
      <w:r>
        <w:t xml:space="preserve">Is there any evidence that higher installed-system prices are hurting replacement demand?</w:t>
      </w:r>
    </w:p>
    <w:p>
      <w:pPr>
        <w:pStyle w:val="Compact"/>
        <w:numPr>
          <w:ilvl w:val="0"/>
          <w:numId w:val="1005"/>
        </w:numPr>
      </w:pPr>
      <w:r>
        <w:t xml:space="preserve">Will price fully offset tariffs and commodities in the second half, or merely reduce the headwind?</w:t>
      </w:r>
    </w:p>
    <w:p>
      <w:pPr>
        <w:pStyle w:val="Compact"/>
        <w:numPr>
          <w:ilvl w:val="0"/>
          <w:numId w:val="1005"/>
        </w:numPr>
      </w:pPr>
      <w:r>
        <w:t xml:space="preserve">Has management changed its expectation for slightly lower full-year enterprise margin?</w:t>
      </w:r>
    </w:p>
    <w:p>
      <w:pPr>
        <w:pStyle w:val="FirstParagraph"/>
      </w:pPr>
      <w:r>
        <w:t xml:space="preserve">Carrier’s quarter again offers a cautionary read-through: stronger volumes and pricing did not prevent margin contraction because input costs and mix remained unfavorable. (</w:t>
      </w:r>
      <w:hyperlink r:id="rId12">
        <w:r>
          <w:rPr>
            <w:rStyle w:val="Hyperlink"/>
          </w:rPr>
          <w:t xml:space="preserve">ir.carrier.com</w:t>
        </w:r>
      </w:hyperlink>
      <w:r>
        <w:t xml:space="preserve">)</w:t>
      </w:r>
    </w:p>
    <w:bookmarkEnd w:id="17"/>
    <w:bookmarkStart w:id="18" w:name="X9ac820a1052213d73317dc1ecdf8e276b0c79fd"/>
    <w:p>
      <w:pPr>
        <w:pStyle w:val="Heading2"/>
      </w:pPr>
      <w:r>
        <w:t xml:space="preserve">Can Building Climate Solutions sustain its momentum?</w:t>
      </w:r>
    </w:p>
    <w:p>
      <w:pPr>
        <w:pStyle w:val="FirstParagraph"/>
      </w:pPr>
      <w:r>
        <w:t xml:space="preserve">BCS was the clear Q1 standout. Growth came from:</w:t>
      </w:r>
    </w:p>
    <w:p>
      <w:pPr>
        <w:pStyle w:val="Compact"/>
        <w:numPr>
          <w:ilvl w:val="0"/>
          <w:numId w:val="1006"/>
        </w:numPr>
      </w:pPr>
      <w:r>
        <w:t xml:space="preserve">Emergency-replacement equipment.</w:t>
      </w:r>
    </w:p>
    <w:p>
      <w:pPr>
        <w:pStyle w:val="Compact"/>
        <w:numPr>
          <w:ilvl w:val="0"/>
          <w:numId w:val="1006"/>
        </w:numPr>
      </w:pPr>
      <w:r>
        <w:t xml:space="preserve">National-account wins and improving lead times.</w:t>
      </w:r>
    </w:p>
    <w:p>
      <w:pPr>
        <w:pStyle w:val="Compact"/>
        <w:numPr>
          <w:ilvl w:val="0"/>
          <w:numId w:val="1006"/>
        </w:numPr>
      </w:pPr>
      <w:r>
        <w:t xml:space="preserve">Better factory productivity.</w:t>
      </w:r>
    </w:p>
    <w:p>
      <w:pPr>
        <w:pStyle w:val="Compact"/>
        <w:numPr>
          <w:ilvl w:val="0"/>
          <w:numId w:val="1006"/>
        </w:numPr>
      </w:pPr>
      <w:r>
        <w:t xml:space="preserve">Services and refrigeration.</w:t>
      </w:r>
    </w:p>
    <w:p>
      <w:pPr>
        <w:pStyle w:val="Compact"/>
        <w:numPr>
          <w:ilvl w:val="0"/>
          <w:numId w:val="1006"/>
        </w:numPr>
      </w:pPr>
      <w:r>
        <w:t xml:space="preserve">The Duro Dyne acquisition.</w:t>
      </w:r>
    </w:p>
    <w:p>
      <w:pPr>
        <w:pStyle w:val="FirstParagraph"/>
      </w:pPr>
      <w:r>
        <w:t xml:space="preserve">The challenge is that Q1 benefited from easy comparisons. Investors should focus on whether BCS can maintain organic growth and attractive margins as those comparisons become more difficult.</w:t>
      </w:r>
    </w:p>
    <w:p>
      <w:pPr>
        <w:pStyle w:val="BodyText"/>
      </w:pPr>
      <w:r>
        <w:t xml:space="preserve">The external backdrop is constructive. Carrier’s North American light-commercial business grew 10%, with strength in national accounts, education and hospitality. That supports Lennox’s argument that its BCS gains are not solely the result of weak prior-year comparisons. (</w:t>
      </w:r>
      <w:hyperlink r:id="rId12">
        <w:r>
          <w:rPr>
            <w:rStyle w:val="Hyperlink"/>
          </w:rPr>
          <w:t xml:space="preserve">ir.carrier.com</w:t>
        </w:r>
      </w:hyperlink>
      <w:r>
        <w:t xml:space="preserve">)</w:t>
      </w:r>
    </w:p>
    <w:p>
      <w:pPr>
        <w:pStyle w:val="BodyText"/>
      </w:pPr>
      <w:r>
        <w:t xml:space="preserve">Still, Lennox’s company-specific execution matters most. Management previously described emergency replacement as being in the early innings, with distribution availability and national-account penetration providing a multiyear runway. Continued strong orders or an increased BCS outlook would be among the most bullish elements of the report.</w:t>
      </w:r>
    </w:p>
    <w:bookmarkEnd w:id="18"/>
    <w:bookmarkStart w:id="20" w:name="Xf3778ba29dfbfd28edeb78f99624b2c77758133"/>
    <w:p>
      <w:pPr>
        <w:pStyle w:val="Heading2"/>
      </w:pPr>
      <w:r>
        <w:t xml:space="preserve">Guidance: Reiteration may not be enough by itself</w:t>
      </w:r>
    </w:p>
    <w:p>
      <w:pPr>
        <w:pStyle w:val="FirstParagraph"/>
      </w:pPr>
      <w:r>
        <w:t xml:space="preserve">Current FY2026 guidance calls for:</w:t>
      </w:r>
    </w:p>
    <w:p>
      <w:pPr>
        <w:pStyle w:val="Compact"/>
        <w:numPr>
          <w:ilvl w:val="0"/>
          <w:numId w:val="1007"/>
        </w:numPr>
      </w:pPr>
      <w:r>
        <w:rPr>
          <w:b/>
          <w:bCs/>
        </w:rPr>
        <w:t xml:space="preserve">Approximately 8% revenue growth</w:t>
      </w:r>
      <w:r>
        <w:t xml:space="preserve">, including roughly four points from acquisitions.</w:t>
      </w:r>
    </w:p>
    <w:p>
      <w:pPr>
        <w:pStyle w:val="Compact"/>
        <w:numPr>
          <w:ilvl w:val="0"/>
          <w:numId w:val="1007"/>
        </w:numPr>
      </w:pPr>
      <w:r>
        <w:t xml:space="preserve">HCS revenue growth of approximately 4%.</w:t>
      </w:r>
    </w:p>
    <w:p>
      <w:pPr>
        <w:pStyle w:val="Compact"/>
        <w:numPr>
          <w:ilvl w:val="0"/>
          <w:numId w:val="1007"/>
        </w:numPr>
      </w:pPr>
      <w:r>
        <w:t xml:space="preserve">BCS revenue growth of approximately 16%.</w:t>
      </w:r>
    </w:p>
    <w:p>
      <w:pPr>
        <w:pStyle w:val="Compact"/>
        <w:numPr>
          <w:ilvl w:val="0"/>
          <w:numId w:val="1007"/>
        </w:numPr>
      </w:pPr>
      <w:r>
        <w:t xml:space="preserve">Adjusted EPS of</w:t>
      </w:r>
      <w:r>
        <w:t xml:space="preserve"> </w:t>
      </w:r>
      <m:oMath>
        <m:r>
          <m:t>23.50</m:t>
        </m:r>
        <m:r>
          <m:rPr>
            <m:sty m:val="p"/>
          </m:rPr>
          <m:t>–</m:t>
        </m:r>
      </m:oMath>
      <w:r>
        <w:rPr>
          <w:b/>
          <w:bCs/>
        </w:rPr>
        <w:t xml:space="preserve">25.00</w:t>
      </w:r>
      <w:r>
        <w:t xml:space="preserve">.</w:t>
      </w:r>
    </w:p>
    <w:p>
      <w:pPr>
        <w:pStyle w:val="Compact"/>
        <w:numPr>
          <w:ilvl w:val="0"/>
          <w:numId w:val="1007"/>
        </w:numPr>
      </w:pPr>
      <w:r>
        <w:t xml:space="preserve">Free cash flow of</w:t>
      </w:r>
      <w:r>
        <w:t xml:space="preserve"> </w:t>
      </w:r>
      <m:oMath>
        <m:r>
          <m:t>750</m:t>
        </m:r>
        <m:r>
          <m:t>M</m:t>
        </m:r>
        <m:r>
          <m:rPr>
            <m:sty m:val="p"/>
          </m:rPr>
          <m:t>–</m:t>
        </m:r>
      </m:oMath>
      <w:r>
        <w:rPr>
          <w:b/>
          <w:bCs/>
        </w:rPr>
        <w:t xml:space="preserve">850M</w:t>
      </w:r>
      <w:r>
        <w:t xml:space="preserve">. (</w:t>
      </w:r>
      <w:hyperlink r:id="rId19">
        <w:r>
          <w:rPr>
            <w:rStyle w:val="Hyperlink"/>
          </w:rPr>
          <w:t xml:space="preserve">investor.lennox.com</w:t>
        </w:r>
      </w:hyperlink>
      <w:r>
        <w:t xml:space="preserve">)</w:t>
      </w:r>
    </w:p>
    <w:p>
      <w:pPr>
        <w:pStyle w:val="FirstParagraph"/>
      </w:pPr>
      <w:r>
        <w:t xml:space="preserve">Because consensus EPS is approximately $24.43, a simple guidance reiteration would probably be interpreted through management’s tone:</w:t>
      </w:r>
    </w:p>
    <w:p>
      <w:pPr>
        <w:pStyle w:val="Compact"/>
        <w:numPr>
          <w:ilvl w:val="0"/>
          <w:numId w:val="1008"/>
        </w:numPr>
      </w:pPr>
      <w:r>
        <w:rPr>
          <w:b/>
          <w:bCs/>
        </w:rPr>
        <w:t xml:space="preserve">Constructive reiteration:</w:t>
      </w:r>
      <w:r>
        <w:t xml:space="preserve"> </w:t>
      </w:r>
      <w:r>
        <w:t xml:space="preserve">Management expresses confidence in the upper half, confirms absorption is behind it and points to improving HCS demand.</w:t>
      </w:r>
    </w:p>
    <w:p>
      <w:pPr>
        <w:pStyle w:val="Compact"/>
        <w:numPr>
          <w:ilvl w:val="0"/>
          <w:numId w:val="1008"/>
        </w:numPr>
      </w:pPr>
      <w:r>
        <w:rPr>
          <w:b/>
          <w:bCs/>
        </w:rPr>
        <w:t xml:space="preserve">Neutral reiteration:</w:t>
      </w:r>
      <w:r>
        <w:t xml:space="preserve"> </w:t>
      </w:r>
      <w:r>
        <w:t xml:space="preserve">Demand stabilizes, but tariff and price-cost uncertainty prevents a more optimistic stance.</w:t>
      </w:r>
    </w:p>
    <w:p>
      <w:pPr>
        <w:pStyle w:val="Compact"/>
        <w:numPr>
          <w:ilvl w:val="0"/>
          <w:numId w:val="1008"/>
        </w:numPr>
      </w:pPr>
      <w:r>
        <w:rPr>
          <w:b/>
          <w:bCs/>
        </w:rPr>
        <w:t xml:space="preserve">Negative reiteration:</w:t>
      </w:r>
      <w:r>
        <w:t xml:space="preserve"> </w:t>
      </w:r>
      <w:r>
        <w:t xml:space="preserve">Management emphasizes the lower half, identifies new cost pressure or delays the expected HCS margin recovery.</w:t>
      </w:r>
    </w:p>
    <w:p>
      <w:pPr>
        <w:pStyle w:val="FirstParagraph"/>
      </w:pPr>
      <w:r>
        <w:t xml:space="preserve">A raised revenue forecast would also need to be assessed carefully. Higher price or acquisition revenue is less valuable than stronger organic volume, particularly in HCS.</w:t>
      </w:r>
    </w:p>
    <w:bookmarkEnd w:id="20"/>
    <w:bookmarkStart w:id="21" w:name="cash-flow-and-inventory"/>
    <w:p>
      <w:pPr>
        <w:pStyle w:val="Heading2"/>
      </w:pPr>
      <w:r>
        <w:t xml:space="preserve">Cash flow and inventory</w:t>
      </w:r>
    </w:p>
    <w:p>
      <w:pPr>
        <w:pStyle w:val="FirstParagraph"/>
      </w:pPr>
      <w:r>
        <w:t xml:space="preserve">Lennox reaffirmed</w:t>
      </w:r>
      <w:r>
        <w:t xml:space="preserve"> </w:t>
      </w:r>
      <m:oMath>
        <m:r>
          <m:t>750</m:t>
        </m:r>
        <m:r>
          <m:t>m</m:t>
        </m:r>
        <m:r>
          <m:t>i</m:t>
        </m:r>
        <m:r>
          <m:t>l</m:t>
        </m:r>
        <m:r>
          <m:t>l</m:t>
        </m:r>
        <m:r>
          <m:t>i</m:t>
        </m:r>
        <m:r>
          <m:t>o</m:t>
        </m:r>
        <m:r>
          <m:t>n</m:t>
        </m:r>
        <m:r>
          <m:rPr>
            <m:sty m:val="p"/>
          </m:rPr>
          <m:t>–</m:t>
        </m:r>
      </m:oMath>
      <w:r>
        <w:t xml:space="preserve">850 million of free cash flow after Q1, despite using $39 million of free cash during the quarter. Inventory increased only $60 million sequentially, versus a $210 million build in the prior-year period, and management expects inventory to decline in the second half. (</w:t>
      </w:r>
      <w:hyperlink r:id="rId19">
        <w:r>
          <w:rPr>
            <w:rStyle w:val="Hyperlink"/>
          </w:rPr>
          <w:t xml:space="preserve">investor.lennox.com</w:t>
        </w:r>
      </w:hyperlink>
      <w:r>
        <w:t xml:space="preserve">)</w:t>
      </w:r>
    </w:p>
    <w:p>
      <w:pPr>
        <w:pStyle w:val="BodyText"/>
      </w:pPr>
      <w:r>
        <w:t xml:space="preserve">For Q2, the key issues are:</w:t>
      </w:r>
    </w:p>
    <w:p>
      <w:pPr>
        <w:pStyle w:val="Compact"/>
        <w:numPr>
          <w:ilvl w:val="0"/>
          <w:numId w:val="1009"/>
        </w:numPr>
      </w:pPr>
      <w:r>
        <w:t xml:space="preserve">Whether finished-goods inventory has normalized as promised.</w:t>
      </w:r>
    </w:p>
    <w:p>
      <w:pPr>
        <w:pStyle w:val="Compact"/>
        <w:numPr>
          <w:ilvl w:val="0"/>
          <w:numId w:val="1009"/>
        </w:numPr>
      </w:pPr>
      <w:r>
        <w:t xml:space="preserve">Whether the company remains confident in a significant second-half working-capital release.</w:t>
      </w:r>
    </w:p>
    <w:p>
      <w:pPr>
        <w:pStyle w:val="Compact"/>
        <w:numPr>
          <w:ilvl w:val="0"/>
          <w:numId w:val="1009"/>
        </w:numPr>
      </w:pPr>
      <w:r>
        <w:t xml:space="preserve">Integration progress at Duro Dyne and Supco.</w:t>
      </w:r>
    </w:p>
    <w:p>
      <w:pPr>
        <w:pStyle w:val="Compact"/>
        <w:numPr>
          <w:ilvl w:val="0"/>
          <w:numId w:val="1009"/>
        </w:numPr>
      </w:pPr>
      <w:r>
        <w:t xml:space="preserve">Capital allocation following the approximately $550 million of acquisitions completed in late 2025.</w:t>
      </w:r>
    </w:p>
    <w:p>
      <w:pPr>
        <w:pStyle w:val="FirstParagraph"/>
      </w:pPr>
      <w:r>
        <w:t xml:space="preserve">Free-cash-flow guidance should be more important than the precise Q2 cash result, given the business’s seasonality.</w:t>
      </w:r>
    </w:p>
    <w:bookmarkEnd w:id="21"/>
    <w:bookmarkStart w:id="25" w:name="scenario-framework"/>
    <w:p>
      <w:pPr>
        <w:pStyle w:val="Heading2"/>
      </w:pPr>
      <w:r>
        <w:t xml:space="preserve">Scenario framework</w:t>
      </w:r>
    </w:p>
    <w:bookmarkStart w:id="22" w:name="bull-case"/>
    <w:p>
      <w:pPr>
        <w:pStyle w:val="Heading3"/>
      </w:pPr>
      <w:r>
        <w:t xml:space="preserve">Bull case</w:t>
      </w:r>
    </w:p>
    <w:p>
      <w:pPr>
        <w:pStyle w:val="Compact"/>
        <w:numPr>
          <w:ilvl w:val="0"/>
          <w:numId w:val="1010"/>
        </w:numPr>
      </w:pPr>
      <w:r>
        <w:t xml:space="preserve">Revenue and EPS exceed consensus.</w:t>
      </w:r>
    </w:p>
    <w:p>
      <w:pPr>
        <w:pStyle w:val="Compact"/>
        <w:numPr>
          <w:ilvl w:val="0"/>
          <w:numId w:val="1010"/>
        </w:numPr>
      </w:pPr>
      <w:r>
        <w:t xml:space="preserve">HCS volume improves materially and sell-through supports distributor restocking.</w:t>
      </w:r>
    </w:p>
    <w:p>
      <w:pPr>
        <w:pStyle w:val="Compact"/>
        <w:numPr>
          <w:ilvl w:val="0"/>
          <w:numId w:val="1010"/>
        </w:numPr>
      </w:pPr>
      <w:r>
        <w:t xml:space="preserve">Under-absorption is effectively finished.</w:t>
      </w:r>
    </w:p>
    <w:p>
      <w:pPr>
        <w:pStyle w:val="Compact"/>
        <w:numPr>
          <w:ilvl w:val="0"/>
          <w:numId w:val="1010"/>
        </w:numPr>
      </w:pPr>
      <w:r>
        <w:t xml:space="preserve">BCS maintains strong organic growth and margins.</w:t>
      </w:r>
    </w:p>
    <w:p>
      <w:pPr>
        <w:pStyle w:val="Compact"/>
        <w:numPr>
          <w:ilvl w:val="0"/>
          <w:numId w:val="1010"/>
        </w:numPr>
      </w:pPr>
      <w:r>
        <w:t xml:space="preserve">Management raises the bottom of EPS guidance or signals confidence near the upper end.</w:t>
      </w:r>
    </w:p>
    <w:p>
      <w:pPr>
        <w:pStyle w:val="Compact"/>
        <w:numPr>
          <w:ilvl w:val="0"/>
          <w:numId w:val="1010"/>
        </w:numPr>
      </w:pPr>
      <w:r>
        <w:t xml:space="preserve">Free-cash-flow guidance is reaffirmed with inventory declining as planned.</w:t>
      </w:r>
    </w:p>
    <w:bookmarkEnd w:id="22"/>
    <w:bookmarkStart w:id="23" w:name="base-case"/>
    <w:p>
      <w:pPr>
        <w:pStyle w:val="Heading3"/>
      </w:pPr>
      <w:r>
        <w:t xml:space="preserve">Base case</w:t>
      </w:r>
    </w:p>
    <w:p>
      <w:pPr>
        <w:pStyle w:val="Compact"/>
        <w:numPr>
          <w:ilvl w:val="0"/>
          <w:numId w:val="1011"/>
        </w:numPr>
      </w:pPr>
      <w:r>
        <w:t xml:space="preserve">Revenue lands around $1.56 billion and EPS around</w:t>
      </w:r>
      <w:r>
        <w:t xml:space="preserve"> </w:t>
      </w:r>
      <m:oMath>
        <m:r>
          <m:t>7.60</m:t>
        </m:r>
        <m:r>
          <m:rPr>
            <m:sty m:val="p"/>
          </m:rPr>
          <m:t>–</m:t>
        </m:r>
      </m:oMath>
      <w:r>
        <w:t xml:space="preserve">7.70.</w:t>
      </w:r>
    </w:p>
    <w:p>
      <w:pPr>
        <w:pStyle w:val="Compact"/>
        <w:numPr>
          <w:ilvl w:val="0"/>
          <w:numId w:val="1011"/>
        </w:numPr>
      </w:pPr>
      <w:r>
        <w:t xml:space="preserve">HCS remains slightly negative but improves substantially from Q1.</w:t>
      </w:r>
    </w:p>
    <w:p>
      <w:pPr>
        <w:pStyle w:val="Compact"/>
        <w:numPr>
          <w:ilvl w:val="0"/>
          <w:numId w:val="1011"/>
        </w:numPr>
      </w:pPr>
      <w:r>
        <w:t xml:space="preserve">BCS stays strong, although growth moderates.</w:t>
      </w:r>
    </w:p>
    <w:p>
      <w:pPr>
        <w:pStyle w:val="Compact"/>
        <w:numPr>
          <w:ilvl w:val="0"/>
          <w:numId w:val="1011"/>
        </w:numPr>
      </w:pPr>
      <w:r>
        <w:t xml:space="preserve">Guidance is maintained.</w:t>
      </w:r>
    </w:p>
    <w:p>
      <w:pPr>
        <w:pStyle w:val="Compact"/>
        <w:numPr>
          <w:ilvl w:val="0"/>
          <w:numId w:val="1011"/>
        </w:numPr>
      </w:pPr>
      <w:r>
        <w:t xml:space="preserve">Management remains cautious about second-half tariffs and input costs.</w:t>
      </w:r>
    </w:p>
    <w:bookmarkEnd w:id="23"/>
    <w:bookmarkStart w:id="24" w:name="bear-case"/>
    <w:p>
      <w:pPr>
        <w:pStyle w:val="Heading3"/>
      </w:pPr>
      <w:r>
        <w:t xml:space="preserve">Bear case</w:t>
      </w:r>
    </w:p>
    <w:p>
      <w:pPr>
        <w:pStyle w:val="Compact"/>
        <w:numPr>
          <w:ilvl w:val="0"/>
          <w:numId w:val="1012"/>
        </w:numPr>
      </w:pPr>
      <w:r>
        <w:t xml:space="preserve">HCS demand fails to improve or dealer restocking proves temporary.</w:t>
      </w:r>
    </w:p>
    <w:p>
      <w:pPr>
        <w:pStyle w:val="Compact"/>
        <w:numPr>
          <w:ilvl w:val="0"/>
          <w:numId w:val="1012"/>
        </w:numPr>
      </w:pPr>
      <w:r>
        <w:t xml:space="preserve">Factory under-absorption persists beyond Q2.</w:t>
      </w:r>
    </w:p>
    <w:p>
      <w:pPr>
        <w:pStyle w:val="Compact"/>
        <w:numPr>
          <w:ilvl w:val="0"/>
          <w:numId w:val="1012"/>
        </w:numPr>
      </w:pPr>
      <w:r>
        <w:t xml:space="preserve">Price realization trails rising material and tariff costs.</w:t>
      </w:r>
    </w:p>
    <w:p>
      <w:pPr>
        <w:pStyle w:val="Compact"/>
        <w:numPr>
          <w:ilvl w:val="0"/>
          <w:numId w:val="1012"/>
        </w:numPr>
      </w:pPr>
      <w:r>
        <w:t xml:space="preserve">BCS growth or margins decelerate sharply.</w:t>
      </w:r>
    </w:p>
    <w:p>
      <w:pPr>
        <w:pStyle w:val="Compact"/>
        <w:numPr>
          <w:ilvl w:val="0"/>
          <w:numId w:val="1012"/>
        </w:numPr>
      </w:pPr>
      <w:r>
        <w:t xml:space="preserve">Management narrows EPS expectations toward the lower half of guidance or reduces the outlook.</w:t>
      </w:r>
    </w:p>
    <w:p>
      <w:pPr>
        <w:pStyle w:val="Compact"/>
        <w:numPr>
          <w:ilvl w:val="0"/>
          <w:numId w:val="1012"/>
        </w:numPr>
      </w:pPr>
      <w:r>
        <w:t xml:space="preserve">Inventory normalization and free-cash-flow conversion are delayed.</w:t>
      </w:r>
    </w:p>
    <w:bookmarkEnd w:id="24"/>
    <w:bookmarkEnd w:id="25"/>
    <w:bookmarkStart w:id="26" w:name="bottom-line"/>
    <w:p>
      <w:pPr>
        <w:pStyle w:val="Heading2"/>
      </w:pPr>
      <w:r>
        <w:t xml:space="preserve">Bottom line</w:t>
      </w:r>
    </w:p>
    <w:p>
      <w:pPr>
        <w:pStyle w:val="FirstParagraph"/>
      </w:pPr>
      <w:r>
        <w:t xml:space="preserve">The setup is</w:t>
      </w:r>
      <w:r>
        <w:t xml:space="preserve"> </w:t>
      </w:r>
      <w:r>
        <w:rPr>
          <w:b/>
          <w:bCs/>
        </w:rPr>
        <w:t xml:space="preserve">operationally constructive but not low-expectation</w:t>
      </w:r>
      <w:r>
        <w:t xml:space="preserve">. Carrier’s results suggest that North American residential and light-commercial HVAC demand improved during Q2, which should help Lennox. But the peer read-through also shows that stronger sales do not automatically translate into margin growth when input costs and mix remain challenging.</w:t>
      </w:r>
    </w:p>
    <w:p>
      <w:pPr>
        <w:pStyle w:val="BodyText"/>
      </w:pPr>
      <w:r>
        <w:t xml:space="preserve">The best outcome is not merely an EPS beat. Investors should look for three confirmations:</w:t>
      </w:r>
    </w:p>
    <w:p>
      <w:pPr>
        <w:pStyle w:val="Compact"/>
        <w:numPr>
          <w:ilvl w:val="0"/>
          <w:numId w:val="1013"/>
        </w:numPr>
      </w:pPr>
      <w:r>
        <w:rPr>
          <w:b/>
          <w:bCs/>
        </w:rPr>
        <w:t xml:space="preserve">HCS volume is genuinely recovering.</w:t>
      </w:r>
    </w:p>
    <w:p>
      <w:pPr>
        <w:pStyle w:val="Compact"/>
        <w:numPr>
          <w:ilvl w:val="0"/>
          <w:numId w:val="1013"/>
        </w:numPr>
      </w:pPr>
      <w:r>
        <w:rPr>
          <w:b/>
          <w:bCs/>
        </w:rPr>
        <w:t xml:space="preserve">Factory under-absorption is ending, allowing margins to normalize.</w:t>
      </w:r>
    </w:p>
    <w:p>
      <w:pPr>
        <w:pStyle w:val="Compact"/>
        <w:numPr>
          <w:ilvl w:val="0"/>
          <w:numId w:val="1013"/>
        </w:numPr>
      </w:pPr>
      <w:r>
        <w:rPr>
          <w:b/>
          <w:bCs/>
        </w:rPr>
        <w:t xml:space="preserve">Price, productivity and acquisition benefits are sufficient to protect full-year guidance from second-half tariff and commodity pressure.</w:t>
      </w:r>
    </w:p>
    <w:p>
      <w:pPr>
        <w:pStyle w:val="FirstParagraph"/>
      </w:pPr>
      <w:r>
        <w:t xml:space="preserve">If Lennox delivers those points while maintaining or tightening guidance toward the upper half, the report should be viewed favorably. If the beat is driven mainly by price, mix and acquisitions while organic residential volume and margins remain weak, the market reaction could be considerably more restrained.</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lennox.com/events/event-details/q2-2026-lennox-earnings-conference-call" TargetMode="External" /><Relationship Type="http://schemas.openxmlformats.org/officeDocument/2006/relationships/hyperlink" Id="rId15" Target="https://investor.lennox.com/news-releases/news-release-details/lennox-reports-second-quarter-results?utm_source=openai" TargetMode="External" /><Relationship Type="http://schemas.openxmlformats.org/officeDocument/2006/relationships/hyperlink" Id="rId12" Target="https://ir.carrier.com/news/news-details/2026/Carrier-Reports-Second-Quarter-2026-Results/default.aspx" TargetMode="External" /><Relationship Type="http://schemas.openxmlformats.org/officeDocument/2006/relationships/hyperlink" Id="rId10" Target="https://www.barchart.com/stocks/quotes/LII/earnings-estimates" TargetMode="External" /><Relationship Type="http://schemas.openxmlformats.org/officeDocument/2006/relationships/hyperlink" Id="rId19" Target="https://www.investor.lennox.com/news-releases/news-release-details/lennox-reports-2026-first-quarter-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lennox.com/events/event-details/q2-2026-lennox-earnings-conference-call" TargetMode="External" /><Relationship Type="http://schemas.openxmlformats.org/officeDocument/2006/relationships/hyperlink" Id="rId15" Target="https://investor.lennox.com/news-releases/news-release-details/lennox-reports-second-quarter-results?utm_source=openai" TargetMode="External" /><Relationship Type="http://schemas.openxmlformats.org/officeDocument/2006/relationships/hyperlink" Id="rId12" Target="https://ir.carrier.com/news/news-details/2026/Carrier-Reports-Second-Quarter-2026-Results/default.aspx" TargetMode="External" /><Relationship Type="http://schemas.openxmlformats.org/officeDocument/2006/relationships/hyperlink" Id="rId10" Target="https://www.barchart.com/stocks/quotes/LII/earnings-estimates" TargetMode="External" /><Relationship Type="http://schemas.openxmlformats.org/officeDocument/2006/relationships/hyperlink" Id="rId19" Target="https://www.investor.lennox.com/news-releases/news-release-details/lennox-reports-2026-first-quarter-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2026-07-29T00:50:58Z</dcterms:created>
  <dcterms:modified xsi:type="dcterms:W3CDTF">2026-07-29T00:50:58Z</dcterms:modified>
</cp:coreProperties>
</file>

<file path=docProps/custom.xml><?xml version="1.0" encoding="utf-8"?>
<Properties xmlns="http://schemas.openxmlformats.org/officeDocument/2006/custom-properties" xmlns:vt="http://schemas.openxmlformats.org/officeDocument/2006/docPropsVTypes"/>
</file>