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lennox-nyse-lii--2q26-earnings-preview"/>
    <w:p>
      <w:pPr>
        <w:pStyle w:val="Heading1"/>
      </w:pPr>
      <w:r>
        <w:t xml:space="preserve">Lennox (NYSE: LII) — 2Q26 Earnings Preview</w:t>
      </w:r>
    </w:p>
    <w:p>
      <w:pPr>
        <w:pStyle w:val="BlockText"/>
      </w:pPr>
      <w:r>
        <w:rPr>
          <w:b/>
          <w:bCs/>
        </w:rPr>
        <w:t xml:space="preserve">Timing correction:</w:t>
      </w:r>
      <w:r>
        <w:t xml:space="preserve"> </w:t>
      </w:r>
      <w:r>
        <w:t xml:space="preserve">The report is scheduled for</w:t>
      </w:r>
      <w:r>
        <w:t xml:space="preserve"> </w:t>
      </w:r>
      <w:r>
        <w:rPr>
          <w:b/>
          <w:bCs/>
        </w:rPr>
        <w:t xml:space="preserve">today, Wednesday, July 29, 2026</w:t>
      </w:r>
      <w:r>
        <w:t xml:space="preserve">, not tomorrow. Lennox is set to release results before the market opens and host its conference call at</w:t>
      </w:r>
      <w:r>
        <w:t xml:space="preserve"> </w:t>
      </w:r>
      <w:r>
        <w:rPr>
          <w:b/>
          <w:bCs/>
        </w:rPr>
        <w:t xml:space="preserve">8:30 a.m. CDT</w:t>
      </w:r>
      <w:r>
        <w:t xml:space="preserve">. (</w:t>
      </w:r>
      <w:hyperlink r:id="rId9">
        <w:r>
          <w:rPr>
            <w:rStyle w:val="Hyperlink"/>
          </w:rPr>
          <w:t xml:space="preserve">investor.lennox.com</w:t>
        </w:r>
      </w:hyperlink>
      <w:r>
        <w:t xml:space="preserve">)</w:t>
      </w:r>
    </w:p>
    <w:bookmarkStart w:id="11" w:name="X4e3e0857a214d10c6a2a9eab11048d060808f85"/>
    <w:p>
      <w:pPr>
        <w:pStyle w:val="Heading2"/>
      </w:pPr>
      <w:r>
        <w:t xml:space="preserve">Investment view: a residential-margin inflection test, supported by commercial strength</w:t>
      </w:r>
    </w:p>
    <w:p>
      <w:pPr>
        <w:pStyle w:val="FirstParagraph"/>
      </w:pPr>
      <w:r>
        <w:t xml:space="preserve">Lennox enters 2Q with a split narrative.</w:t>
      </w:r>
      <w:r>
        <w:t xml:space="preserve"> </w:t>
      </w:r>
      <w:r>
        <w:rPr>
          <w:b/>
          <w:bCs/>
        </w:rPr>
        <w:t xml:space="preserve">Building Climate Solutions (BCS)</w:t>
      </w:r>
      <w:r>
        <w:t xml:space="preserve"> </w:t>
      </w:r>
      <w:r>
        <w:t xml:space="preserve">has been executing exceptionally well—helped by commercial emergency replacement, national accounts, services, and acquisitions—while</w:t>
      </w:r>
      <w:r>
        <w:t xml:space="preserve"> </w:t>
      </w:r>
      <w:r>
        <w:rPr>
          <w:b/>
          <w:bCs/>
        </w:rPr>
        <w:t xml:space="preserve">Home Comfort Solutions (HCS)</w:t>
      </w:r>
      <w:r>
        <w:t xml:space="preserve"> </w:t>
      </w:r>
      <w:r>
        <w:t xml:space="preserve">has been working through weak residential demand, new-construction exposure, and temporary factory under-absorption.</w:t>
      </w:r>
    </w:p>
    <w:p>
      <w:pPr>
        <w:pStyle w:val="BodyText"/>
      </w:pPr>
      <w:r>
        <w:t xml:space="preserve">The central question for this print is therefore not merely whether Lennox beats quarterly estimates: it is whether management can demonstrate that the HCS recovery has moved from</w:t>
      </w:r>
      <w:r>
        <w:t xml:space="preserve"> </w:t>
      </w:r>
      <w:r>
        <w:rPr>
          <w:b/>
          <w:bCs/>
        </w:rPr>
        <w:t xml:space="preserve">“stabilization” to tangible volume and margin recovery</w:t>
      </w:r>
      <w:r>
        <w:t xml:space="preserve">, while BCS sustains enough momentum to protect the full-year earnings outlook.</w:t>
      </w:r>
    </w:p>
    <w:p>
      <w:pPr>
        <w:pStyle w:val="BodyText"/>
      </w:pPr>
      <w:r>
        <w:t xml:space="preserve">Lennox’s valuation and longer-term setup depend on credible execution against a strategy built around heat pumps, emergency replacement, parts and supplies attachment, distribution efficiency, and adjacent categories such as water heating. At its March Investor Day, the company set 2030 targets of</w:t>
      </w:r>
      <w:r>
        <w:t xml:space="preserve"> </w:t>
      </w:r>
      <m:oMath>
        <m:r>
          <m:t>6.5</m:t>
        </m:r>
        <m:r>
          <m:rPr>
            <m:sty m:val="p"/>
          </m:rPr>
          <m:t>–</m:t>
        </m:r>
      </m:oMath>
      <w:r>
        <w:rPr>
          <w:b/>
          <w:bCs/>
        </w:rPr>
        <w:t xml:space="preserve">7.5 billion in revenue</w:t>
      </w:r>
      <w:r>
        <w:t xml:space="preserve">,</w:t>
      </w:r>
      <w:r>
        <w:t xml:space="preserve"> </w:t>
      </w:r>
      <w:r>
        <w:rPr>
          <w:b/>
          <w:bCs/>
        </w:rPr>
        <w:t xml:space="preserve">22%–23% segment margins</w:t>
      </w:r>
      <w:r>
        <w:t xml:space="preserve">, and free-cash-flow conversion above 90% of net income. (</w:t>
      </w:r>
      <w:hyperlink r:id="rId10">
        <w:r>
          <w:rPr>
            <w:rStyle w:val="Hyperlink"/>
          </w:rPr>
          <w:t xml:space="preserve">investor.lennox.com</w:t>
        </w:r>
      </w:hyperlink>
      <w:r>
        <w:t xml:space="preserve">)</w:t>
      </w:r>
    </w:p>
    <w:bookmarkEnd w:id="11"/>
    <w:bookmarkStart w:id="14" w:name="X73cac25dd288fb7efcb38e843b778e7b0d7ace9"/>
    <w:p>
      <w:pPr>
        <w:pStyle w:val="Heading2"/>
      </w:pPr>
      <w:r>
        <w:t xml:space="preserve">What happened in 1Q—and why it matters for 2Q</w:t>
      </w:r>
    </w:p>
    <w:p>
      <w:pPr>
        <w:pStyle w:val="FirstParagraph"/>
      </w:pPr>
      <w:r>
        <w:t xml:space="preserve">Lennox reported a mixed first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jc w:val="right"/>
            </w:pPr>
            <w:r>
              <w:t xml:space="preserve">YoY</w:t>
            </w:r>
          </w:p>
        </w:tc>
      </w:tr>
      <w:tr>
        <w:tc>
          <w:tcPr/>
          <w:p>
            <w:pPr>
              <w:pStyle w:val="Compact"/>
            </w:pPr>
            <w:r>
              <w:t xml:space="preserve">Revenue</w:t>
            </w:r>
          </w:p>
        </w:tc>
        <w:tc>
          <w:tcPr/>
          <w:p>
            <w:pPr>
              <w:pStyle w:val="Compact"/>
              <w:jc w:val="right"/>
            </w:pPr>
            <w:r>
              <w:rPr>
                <w:b/>
                <w:bCs/>
              </w:rPr>
              <w:t xml:space="preserve">$1.135B</w:t>
            </w:r>
          </w:p>
        </w:tc>
        <w:tc>
          <w:tcPr/>
          <w:p>
            <w:pPr>
              <w:pStyle w:val="Compact"/>
              <w:jc w:val="right"/>
            </w:pPr>
            <w:r>
              <w:rPr>
                <w:b/>
                <w:bCs/>
              </w:rPr>
              <w:t xml:space="preserve">+6%</w:t>
            </w:r>
          </w:p>
        </w:tc>
      </w:tr>
      <w:tr>
        <w:tc>
          <w:tcPr/>
          <w:p>
            <w:pPr>
              <w:pStyle w:val="Compact"/>
            </w:pPr>
            <w:r>
              <w:t xml:space="preserve">Operating income</w:t>
            </w:r>
          </w:p>
        </w:tc>
        <w:tc>
          <w:tcPr/>
          <w:p>
            <w:pPr>
              <w:pStyle w:val="Compact"/>
              <w:jc w:val="right"/>
            </w:pPr>
            <w:r>
              <w:rPr>
                <w:b/>
                <w:bCs/>
              </w:rPr>
              <w:t xml:space="preserve">$164M</w:t>
            </w:r>
          </w:p>
        </w:tc>
        <w:tc>
          <w:tcPr/>
          <w:p>
            <w:pPr>
              <w:pStyle w:val="Compact"/>
              <w:jc w:val="right"/>
            </w:pPr>
            <w:r>
              <w:rPr>
                <w:b/>
                <w:bCs/>
              </w:rPr>
              <w:t xml:space="preserve">-3%</w:t>
            </w:r>
          </w:p>
        </w:tc>
      </w:tr>
      <w:tr>
        <w:tc>
          <w:tcPr/>
          <w:p>
            <w:pPr>
              <w:pStyle w:val="Compact"/>
            </w:pPr>
            <w:r>
              <w:t xml:space="preserve">Diluted EPS</w:t>
            </w:r>
          </w:p>
        </w:tc>
        <w:tc>
          <w:tcPr/>
          <w:p>
            <w:pPr>
              <w:pStyle w:val="Compact"/>
              <w:jc w:val="right"/>
            </w:pPr>
            <w:r>
              <w:rPr>
                <w:b/>
                <w:bCs/>
              </w:rPr>
              <w:t xml:space="preserve">$3.35</w:t>
            </w:r>
          </w:p>
        </w:tc>
        <w:tc>
          <w:tcPr/>
          <w:p>
            <w:pPr>
              <w:pStyle w:val="Compact"/>
              <w:jc w:val="right"/>
            </w:pPr>
            <w:r>
              <w:rPr>
                <w:b/>
                <w:bCs/>
              </w:rPr>
              <w:t xml:space="preserve">-8%</w:t>
            </w:r>
          </w:p>
        </w:tc>
      </w:tr>
      <w:tr>
        <w:tc>
          <w:tcPr/>
          <w:p>
            <w:pPr>
              <w:pStyle w:val="Compact"/>
            </w:pPr>
            <w:r>
              <w:t xml:space="preserve">Segment margin</w:t>
            </w:r>
          </w:p>
        </w:tc>
        <w:tc>
          <w:tcPr/>
          <w:p>
            <w:pPr>
              <w:pStyle w:val="Compact"/>
              <w:jc w:val="right"/>
            </w:pPr>
            <w:r>
              <w:rPr>
                <w:b/>
                <w:bCs/>
              </w:rPr>
              <w:t xml:space="preserve">14.4%</w:t>
            </w:r>
          </w:p>
        </w:tc>
        <w:tc>
          <w:tcPr/>
          <w:p>
            <w:pPr>
              <w:pStyle w:val="Compact"/>
              <w:jc w:val="right"/>
            </w:pPr>
            <w:r>
              <w:rPr>
                <w:b/>
                <w:bCs/>
              </w:rPr>
              <w:t xml:space="preserve">-130 bps</w:t>
            </w:r>
          </w:p>
        </w:tc>
      </w:tr>
    </w:tbl>
    <w:p>
      <w:pPr>
        <w:pStyle w:val="BodyText"/>
      </w:pPr>
      <w:r>
        <w:t xml:space="preserve">The reported revenue growth was acquisition-supported, while profitability was held back by lower residential volumes, product-cost inflation, and manufacturing under-absorption. (</w:t>
      </w:r>
      <w:hyperlink r:id="rId12">
        <w:r>
          <w:rPr>
            <w:rStyle w:val="Hyperlink"/>
          </w:rPr>
          <w:t xml:space="preserve">investor.lennox.com</w:t>
        </w:r>
      </w:hyperlink>
      <w:r>
        <w:t xml:space="preserve">)</w:t>
      </w:r>
    </w:p>
    <w:p>
      <w:pPr>
        <w:pStyle w:val="BodyText"/>
      </w:pPr>
      <w:r>
        <w:t xml:space="preserve">The segment divergence was stark:</w:t>
      </w:r>
    </w:p>
    <w:p>
      <w:pPr>
        <w:pStyle w:val="Compact"/>
        <w:numPr>
          <w:ilvl w:val="0"/>
          <w:numId w:val="1001"/>
        </w:numPr>
      </w:pPr>
      <w:r>
        <w:rPr>
          <w:b/>
          <w:bCs/>
        </w:rPr>
        <w:t xml:space="preserve">HCS:</w:t>
      </w:r>
      <w:r>
        <w:t xml:space="preserve"> </w:t>
      </w:r>
      <w:r>
        <w:t xml:space="preserve">Revenue declined</w:t>
      </w:r>
      <w:r>
        <w:t xml:space="preserve"> </w:t>
      </w:r>
      <w:r>
        <w:rPr>
          <w:b/>
          <w:bCs/>
        </w:rPr>
        <w:t xml:space="preserve">10%</w:t>
      </w:r>
      <w:r>
        <w:t xml:space="preserve">, and segment profit fell by</w:t>
      </w:r>
      <w:r>
        <w:t xml:space="preserve"> </w:t>
      </w:r>
      <w:r>
        <w:rPr>
          <w:b/>
          <w:bCs/>
        </w:rPr>
        <w:t xml:space="preserve">$37 million</w:t>
      </w:r>
      <w:r>
        <w:t xml:space="preserve">. Residential volume and absorption were the problem.</w:t>
      </w:r>
    </w:p>
    <w:p>
      <w:pPr>
        <w:pStyle w:val="Compact"/>
        <w:numPr>
          <w:ilvl w:val="0"/>
          <w:numId w:val="1001"/>
        </w:numPr>
      </w:pPr>
      <w:r>
        <w:rPr>
          <w:b/>
          <w:bCs/>
        </w:rPr>
        <w:t xml:space="preserve">BCS:</w:t>
      </w:r>
      <w:r>
        <w:t xml:space="preserve"> </w:t>
      </w:r>
      <w:r>
        <w:t xml:space="preserve">Revenue rose</w:t>
      </w:r>
      <w:r>
        <w:t xml:space="preserve"> </w:t>
      </w:r>
      <w:r>
        <w:rPr>
          <w:b/>
          <w:bCs/>
        </w:rPr>
        <w:t xml:space="preserve">38%</w:t>
      </w:r>
      <w:r>
        <w:t xml:space="preserve">, with segment profit up</w:t>
      </w:r>
      <w:r>
        <w:t xml:space="preserve"> </w:t>
      </w:r>
      <w:r>
        <w:rPr>
          <w:b/>
          <w:bCs/>
        </w:rPr>
        <w:t xml:space="preserve">$37 million</w:t>
      </w:r>
      <w:r>
        <w:t xml:space="preserve">, effectively offsetting HCS’s profit decline at the consolidated segment-profit level. (</w:t>
      </w:r>
      <w:hyperlink r:id="rId13">
        <w:r>
          <w:rPr>
            <w:rStyle w:val="Hyperlink"/>
          </w:rPr>
          <w:t xml:space="preserve">investor.lennox.com</w:t>
        </w:r>
      </w:hyperlink>
      <w:r>
        <w:t xml:space="preserve">)</w:t>
      </w:r>
    </w:p>
    <w:p>
      <w:pPr>
        <w:pStyle w:val="FirstParagraph"/>
      </w:pPr>
      <w:r>
        <w:t xml:space="preserve">That makes 2Q pivotal. It is seasonally important for residential HVAC, and management had indicated that inventory normalization and the associated under-absorption pressure should be largely resolved by the end of the second quarter. The report should reveal whether that expected operational reset actually occurred.</w:t>
      </w:r>
    </w:p>
    <w:bookmarkEnd w:id="14"/>
    <w:bookmarkStart w:id="18" w:name="Xa830f3dfe6646b34d668a57af2866d1eafbb534"/>
    <w:p>
      <w:pPr>
        <w:pStyle w:val="Heading2"/>
      </w:pPr>
      <w:r>
        <w:t xml:space="preserve">The key earnings debate: did HCS improve enough?</w:t>
      </w:r>
    </w:p>
    <w:bookmarkStart w:id="16" w:name="X551948c966ea3c93acc75b698298f0e6c3b142e"/>
    <w:p>
      <w:pPr>
        <w:pStyle w:val="Heading3"/>
      </w:pPr>
      <w:r>
        <w:t xml:space="preserve">1. Residential sell-through, channel restocking, and replacement behavior</w:t>
      </w:r>
    </w:p>
    <w:p>
      <w:pPr>
        <w:pStyle w:val="FirstParagraph"/>
      </w:pPr>
      <w:r>
        <w:t xml:space="preserve">HCS is the swing factor. In 1Q, the segment faced weak new construction and soft demand in both its one-step/direct and two-step/distribution channels. The company did note improving sequential trends and distributor restocking ahead of the cooling season, but investors will want evidence that those trends became real sell-through rather than merely seasonal inventory replenishment. (</w:t>
      </w:r>
      <w:hyperlink r:id="rId15">
        <w:r>
          <w:rPr>
            <w:rStyle w:val="Hyperlink"/>
          </w:rPr>
          <w:t xml:space="preserve">investor.lennox.com</w:t>
        </w:r>
      </w:hyperlink>
      <w:r>
        <w:t xml:space="preserve">)</w:t>
      </w:r>
    </w:p>
    <w:p>
      <w:pPr>
        <w:pStyle w:val="BodyText"/>
      </w:pPr>
      <w:r>
        <w:rPr>
          <w:b/>
          <w:bCs/>
        </w:rPr>
        <w:t xml:space="preserve">What to listen for:</w:t>
      </w:r>
    </w:p>
    <w:p>
      <w:pPr>
        <w:pStyle w:val="Compact"/>
        <w:numPr>
          <w:ilvl w:val="0"/>
          <w:numId w:val="1002"/>
        </w:numPr>
      </w:pPr>
      <w:r>
        <w:t xml:space="preserve">One-step versus two-step volume trends.</w:t>
      </w:r>
    </w:p>
    <w:p>
      <w:pPr>
        <w:pStyle w:val="Compact"/>
        <w:numPr>
          <w:ilvl w:val="0"/>
          <w:numId w:val="1002"/>
        </w:numPr>
      </w:pPr>
      <w:r>
        <w:t xml:space="preserve">Replacement demand versus repair activity.</w:t>
      </w:r>
    </w:p>
    <w:p>
      <w:pPr>
        <w:pStyle w:val="Compact"/>
        <w:numPr>
          <w:ilvl w:val="0"/>
          <w:numId w:val="1002"/>
        </w:numPr>
      </w:pPr>
      <w:r>
        <w:t xml:space="preserve">The state of inventory in distributor and dealer channels after the summer selling season began.</w:t>
      </w:r>
    </w:p>
    <w:p>
      <w:pPr>
        <w:pStyle w:val="Compact"/>
        <w:numPr>
          <w:ilvl w:val="0"/>
          <w:numId w:val="1002"/>
        </w:numPr>
      </w:pPr>
      <w:r>
        <w:t xml:space="preserve">New-construction weakness—and whether Lennox continues to rationalize lower-return exposure there.</w:t>
      </w:r>
    </w:p>
    <w:p>
      <w:pPr>
        <w:pStyle w:val="Compact"/>
        <w:numPr>
          <w:ilvl w:val="0"/>
          <w:numId w:val="1002"/>
        </w:numPr>
      </w:pPr>
      <w:r>
        <w:t xml:space="preserve">Any evidence that dealer financing, affordability, or weather affected conversion rates.</w:t>
      </w:r>
    </w:p>
    <w:p>
      <w:pPr>
        <w:pStyle w:val="FirstParagraph"/>
      </w:pPr>
      <w:r>
        <w:t xml:space="preserve">A favorable outcome would be</w:t>
      </w:r>
      <w:r>
        <w:t xml:space="preserve"> </w:t>
      </w:r>
      <w:r>
        <w:rPr>
          <w:b/>
          <w:bCs/>
        </w:rPr>
        <w:t xml:space="preserve">flat-to-improving organic HCS revenue</w:t>
      </w:r>
      <w:r>
        <w:t xml:space="preserve">, clearer replacement demand, and confidence that the channel is neither understocked nor setting up for a later destock.</w:t>
      </w:r>
    </w:p>
    <w:bookmarkEnd w:id="16"/>
    <w:bookmarkStart w:id="17" w:name="Xdc9dfe0d84310a16d56fc6e2636552ec405d259"/>
    <w:p>
      <w:pPr>
        <w:pStyle w:val="Heading3"/>
      </w:pPr>
      <w:r>
        <w:t xml:space="preserve">2. HCS margin recovery and the end of under-absorption</w:t>
      </w:r>
    </w:p>
    <w:p>
      <w:pPr>
        <w:pStyle w:val="FirstParagraph"/>
      </w:pPr>
      <w:r>
        <w:t xml:space="preserve">The first-quarter margin decline was unusually severe because production was reduced while the company worked down inventories. Lennox attributed much of the enterprise margin pressure to lower factory utilization rather than a fundamental failure of price/cost discipline. (</w:t>
      </w:r>
      <w:hyperlink r:id="rId12">
        <w:r>
          <w:rPr>
            <w:rStyle w:val="Hyperlink"/>
          </w:rPr>
          <w:t xml:space="preserve">investor.lennox.com</w:t>
        </w:r>
      </w:hyperlink>
      <w:r>
        <w:t xml:space="preserve">)</w:t>
      </w:r>
    </w:p>
    <w:p>
      <w:pPr>
        <w:pStyle w:val="BodyText"/>
      </w:pPr>
      <w:r>
        <w:t xml:space="preserve">For 2Q, the important readthrough is not just HCS revenue growth—it is whether:</w:t>
      </w:r>
    </w:p>
    <w:p>
      <w:pPr>
        <w:pStyle w:val="Compact"/>
        <w:numPr>
          <w:ilvl w:val="0"/>
          <w:numId w:val="1003"/>
        </w:numPr>
      </w:pPr>
      <w:r>
        <w:t xml:space="preserve">manufacturing absorption improved sequentially;</w:t>
      </w:r>
    </w:p>
    <w:p>
      <w:pPr>
        <w:pStyle w:val="Compact"/>
        <w:numPr>
          <w:ilvl w:val="0"/>
          <w:numId w:val="1003"/>
        </w:numPr>
      </w:pPr>
      <w:r>
        <w:t xml:space="preserve">volume recovery produces normal seasonal operating leverage;</w:t>
      </w:r>
    </w:p>
    <w:p>
      <w:pPr>
        <w:pStyle w:val="Compact"/>
        <w:numPr>
          <w:ilvl w:val="0"/>
          <w:numId w:val="1003"/>
        </w:numPr>
      </w:pPr>
      <w:r>
        <w:t xml:space="preserve">mix, pricing, and cost productivity offset residual inflation; and</w:t>
      </w:r>
    </w:p>
    <w:p>
      <w:pPr>
        <w:pStyle w:val="Compact"/>
        <w:numPr>
          <w:ilvl w:val="0"/>
          <w:numId w:val="1003"/>
        </w:numPr>
      </w:pPr>
      <w:r>
        <w:t xml:space="preserve">management can credibly point to a more normal HCS margin run-rate for the second half.</w:t>
      </w:r>
    </w:p>
    <w:p>
      <w:pPr>
        <w:pStyle w:val="FirstParagraph"/>
      </w:pPr>
      <w:r>
        <w:rPr>
          <w:b/>
          <w:bCs/>
        </w:rPr>
        <w:t xml:space="preserve">Investor implication:</w:t>
      </w:r>
      <w:r>
        <w:t xml:space="preserve"> </w:t>
      </w:r>
      <w:r>
        <w:t xml:space="preserve">If HCS margins recover sharply, the market can look through a weak first quarter as a temporary inventory/production issue. If margins remain constrained despite the seasonal peak, investors may question the durability of Lennox’s long-term margin algorithm.</w:t>
      </w:r>
    </w:p>
    <w:bookmarkEnd w:id="17"/>
    <w:bookmarkEnd w:id="18"/>
    <w:bookmarkStart w:id="19" w:name="X0c4f5fd4062d972ddfcee0b4ad135007d7fe6b4"/>
    <w:p>
      <w:pPr>
        <w:pStyle w:val="Heading2"/>
      </w:pPr>
      <w:r>
        <w:t xml:space="preserve">BCS: the stabilizer, but the comparison gets harder</w:t>
      </w:r>
    </w:p>
    <w:p>
      <w:pPr>
        <w:pStyle w:val="FirstParagraph"/>
      </w:pPr>
      <w:r>
        <w:t xml:space="preserve">BCS was the standout in 1Q, with strong organic growth driven by commercial emergency replacement, national-account activity, services, refrigeration, and the contribution from recent acquisitions. The segment also benefited from manufacturing and execution improvements. (</w:t>
      </w:r>
      <w:hyperlink r:id="rId15">
        <w:r>
          <w:rPr>
            <w:rStyle w:val="Hyperlink"/>
          </w:rPr>
          <w:t xml:space="preserve">investor.lennox.com</w:t>
        </w:r>
      </w:hyperlink>
      <w:r>
        <w:t xml:space="preserve">)</w:t>
      </w:r>
    </w:p>
    <w:p>
      <w:pPr>
        <w:pStyle w:val="BodyText"/>
      </w:pPr>
      <w:r>
        <w:t xml:space="preserve">For 2Q, investors should focus on whether management can sustain:</w:t>
      </w:r>
    </w:p>
    <w:p>
      <w:pPr>
        <w:pStyle w:val="Compact"/>
        <w:numPr>
          <w:ilvl w:val="0"/>
          <w:numId w:val="1004"/>
        </w:numPr>
      </w:pPr>
      <w:r>
        <w:rPr>
          <w:b/>
          <w:bCs/>
        </w:rPr>
        <w:t xml:space="preserve">Emergency-replacement growth.</w:t>
      </w:r>
      <w:r>
        <w:t xml:space="preserve"> </w:t>
      </w:r>
      <w:r>
        <w:t xml:space="preserve">This remains a major strategic opportunity and a potentially attractive-margin business.</w:t>
      </w:r>
    </w:p>
    <w:p>
      <w:pPr>
        <w:pStyle w:val="Compact"/>
        <w:numPr>
          <w:ilvl w:val="0"/>
          <w:numId w:val="1004"/>
        </w:numPr>
      </w:pPr>
      <w:r>
        <w:rPr>
          <w:b/>
          <w:bCs/>
        </w:rPr>
        <w:t xml:space="preserve">National-account traction.</w:t>
      </w:r>
      <w:r>
        <w:t xml:space="preserve"> </w:t>
      </w:r>
      <w:r>
        <w:t xml:space="preserve">Continued wins, order conversion, and improved lead times would support the narrative that Lennox has restored its competitive position.</w:t>
      </w:r>
    </w:p>
    <w:p>
      <w:pPr>
        <w:pStyle w:val="Compact"/>
        <w:numPr>
          <w:ilvl w:val="0"/>
          <w:numId w:val="1004"/>
        </w:numPr>
      </w:pPr>
      <w:r>
        <w:rPr>
          <w:b/>
          <w:bCs/>
        </w:rPr>
        <w:t xml:space="preserve">Service and refrigeration growth.</w:t>
      </w:r>
      <w:r>
        <w:t xml:space="preserve"> </w:t>
      </w:r>
      <w:r>
        <w:t xml:space="preserve">These businesses make BCS more recurring and less dependent on equipment cycles.</w:t>
      </w:r>
    </w:p>
    <w:p>
      <w:pPr>
        <w:pStyle w:val="Compact"/>
        <w:numPr>
          <w:ilvl w:val="0"/>
          <w:numId w:val="1004"/>
        </w:numPr>
      </w:pPr>
      <w:r>
        <w:rPr>
          <w:b/>
          <w:bCs/>
        </w:rPr>
        <w:t xml:space="preserve">BCS margin resilience.</w:t>
      </w:r>
      <w:r>
        <w:t xml:space="preserve"> </w:t>
      </w:r>
      <w:r>
        <w:t xml:space="preserve">The first quarter set a high bar, so even solid growth could be viewed less favorably if margins step down materially.</w:t>
      </w:r>
    </w:p>
    <w:p>
      <w:pPr>
        <w:pStyle w:val="FirstParagraph"/>
      </w:pPr>
      <w:r>
        <w:t xml:space="preserve">BCS does not need to repeat 1Q’s reported growth rate to validate the thesis. It does need to show that growth is not solely a short-term comparison benefit and that commercial execution remains durable.</w:t>
      </w:r>
    </w:p>
    <w:bookmarkEnd w:id="19"/>
    <w:bookmarkStart w:id="21" w:name="X2a91d0d6b895e21d1142a6ad28f2a85100b82e3"/>
    <w:p>
      <w:pPr>
        <w:pStyle w:val="Heading2"/>
      </w:pPr>
      <w:r>
        <w:t xml:space="preserve">Guidance: the most important number may be unchanged</w:t>
      </w:r>
    </w:p>
    <w:p>
      <w:pPr>
        <w:pStyle w:val="FirstParagraph"/>
      </w:pPr>
      <w:r>
        <w:t xml:space="preserve">After 1Q, Lennox guided to approximately</w:t>
      </w:r>
      <w:r>
        <w:t xml:space="preserve"> </w:t>
      </w:r>
      <w:r>
        <w:rPr>
          <w:b/>
          <w:bCs/>
        </w:rPr>
        <w:t xml:space="preserve">8% full-year revenue growth</w:t>
      </w:r>
      <w:r>
        <w:t xml:space="preserve">, including a roughly four-point contribution from completed acquisitions; it maintained adjusted EPS guidance of</w:t>
      </w:r>
      <w:r>
        <w:t xml:space="preserve"> </w:t>
      </w:r>
      <m:oMath>
        <m:r>
          <m:t>23.50</m:t>
        </m:r>
        <m:r>
          <m:rPr>
            <m:sty m:val="p"/>
          </m:rPr>
          <m:t>–</m:t>
        </m:r>
      </m:oMath>
      <w:r>
        <w:rPr>
          <w:b/>
          <w:bCs/>
        </w:rPr>
        <w:t xml:space="preserve">25.00</w:t>
      </w:r>
      <w:r>
        <w:t xml:space="preserve"> </w:t>
      </w:r>
      <w:r>
        <w:t xml:space="preserve">and free-cash-flow guidance of</w:t>
      </w:r>
      <w:r>
        <w:t xml:space="preserve"> </w:t>
      </w:r>
      <m:oMath>
        <m:r>
          <m:t>750</m:t>
        </m:r>
        <m:r>
          <m:rPr>
            <m:sty m:val="p"/>
          </m:rPr>
          <m:t>–</m:t>
        </m:r>
      </m:oMath>
      <w:r>
        <w:rPr>
          <w:b/>
          <w:bCs/>
        </w:rPr>
        <w:t xml:space="preserve">850 million</w:t>
      </w:r>
      <w:r>
        <w:t xml:space="preserve">. (</w:t>
      </w:r>
      <w:hyperlink r:id="rId12">
        <w:r>
          <w:rPr>
            <w:rStyle w:val="Hyperlink"/>
          </w:rPr>
          <w:t xml:space="preserve">investor.lennox.com</w:t>
        </w:r>
      </w:hyperlink>
      <w:r>
        <w:t xml:space="preserve">)</w:t>
      </w:r>
    </w:p>
    <w:p>
      <w:pPr>
        <w:pStyle w:val="BodyText"/>
      </w:pPr>
      <w:r>
        <w:t xml:space="preserve">A reaffirmation would likely be viewed positively</w:t>
      </w:r>
      <w:r>
        <w:t xml:space="preserve"> </w:t>
      </w:r>
      <w:r>
        <w:rPr>
          <w:b/>
          <w:bCs/>
        </w:rPr>
        <w:t xml:space="preserve">if</w:t>
      </w:r>
      <w:r>
        <w:t xml:space="preserve"> </w:t>
      </w:r>
      <w:r>
        <w:t xml:space="preserve">accompanied by evidence that HCS is progressing and the company’s price/cost plan remains intact. Conversely, a maintained guide without clear support for the second-half bridge could be treated cautiously.</w:t>
      </w:r>
    </w:p>
    <w:bookmarkStart w:id="20" w:name="Xd1db9a859792a0d9c1fb42d8f59c5954d6f5686"/>
    <w:p>
      <w:pPr>
        <w:pStyle w:val="Heading3"/>
      </w:pPr>
      <w:r>
        <w:t xml:space="preserve">Price, inflation, and tariffs: the second-half issue</w:t>
      </w:r>
    </w:p>
    <w:p>
      <w:pPr>
        <w:pStyle w:val="FirstParagraph"/>
      </w:pPr>
      <w:r>
        <w:t xml:space="preserve">Management raised its 2026 cost-inflation assumption in 1Q, citing higher metals, fuel, and tariff-related costs, while also implementing pricing actions. The company indicated that, because of its FIFO accounting, much of the newer tariff-related income-statement impact would be more pronounced in the second half. (</w:t>
      </w:r>
      <w:hyperlink r:id="rId15">
        <w:r>
          <w:rPr>
            <w:rStyle w:val="Hyperlink"/>
          </w:rPr>
          <w:t xml:space="preserve">investor.lennox.com</w:t>
        </w:r>
      </w:hyperlink>
      <w:r>
        <w:t xml:space="preserve">)</w:t>
      </w:r>
    </w:p>
    <w:p>
      <w:pPr>
        <w:pStyle w:val="BodyText"/>
      </w:pPr>
      <w:r>
        <w:rPr>
          <w:b/>
          <w:bCs/>
        </w:rPr>
        <w:t xml:space="preserve">My inference:</w:t>
      </w:r>
      <w:r>
        <w:t xml:space="preserve"> </w:t>
      </w:r>
      <w:r>
        <w:t xml:space="preserve">2Q may be more about demonstrating recovery in residential volume and absorption than proving full price/cost neutralization. The more consequential investor debate likely shifts to the back half: whether pricing sticks sufficiently, without hurting demand, to cover the delayed cost pressure. (</w:t>
      </w:r>
      <w:hyperlink r:id="rId15">
        <w:r>
          <w:rPr>
            <w:rStyle w:val="Hyperlink"/>
          </w:rPr>
          <w:t xml:space="preserve">investor.lennox.com</w:t>
        </w:r>
      </w:hyperlink>
      <w:r>
        <w:t xml:space="preserve">)</w:t>
      </w:r>
    </w:p>
    <w:bookmarkEnd w:id="20"/>
    <w:bookmarkEnd w:id="21"/>
    <w:bookmarkStart w:id="26" w:name="Xd7936ba3d84c105f07e735aa5d0fdafb485542c"/>
    <w:p>
      <w:pPr>
        <w:pStyle w:val="Heading2"/>
      </w:pPr>
      <w:r>
        <w:t xml:space="preserve">Recent strategic developments to watch on the call</w:t>
      </w:r>
    </w:p>
    <w:bookmarkStart w:id="23" w:name="heat-controller-acquisition"/>
    <w:p>
      <w:pPr>
        <w:pStyle w:val="Heading3"/>
      </w:pPr>
      <w:r>
        <w:t xml:space="preserve">Heat Controller acquisition</w:t>
      </w:r>
    </w:p>
    <w:p>
      <w:pPr>
        <w:pStyle w:val="FirstParagraph"/>
      </w:pPr>
      <w:r>
        <w:t xml:space="preserve">In June, Lennox signed an agreement to acquire</w:t>
      </w:r>
      <w:r>
        <w:t xml:space="preserve"> </w:t>
      </w:r>
      <w:r>
        <w:rPr>
          <w:b/>
          <w:bCs/>
        </w:rPr>
        <w:t xml:space="preserve">Heat Controller</w:t>
      </w:r>
      <w:r>
        <w:t xml:space="preserve">, owner of the Comfort-Aire and Century brands. The transaction is expected to close later in 2026, subject to customary conditions and regulatory approvals. It expands Lennox’s ability to serve small and midsize HVAC distributors and reinforces the company’s two-step-channel strategy. (</w:t>
      </w:r>
      <w:hyperlink r:id="rId22">
        <w:r>
          <w:rPr>
            <w:rStyle w:val="Hyperlink"/>
          </w:rPr>
          <w:t xml:space="preserve">investor.lennox.com</w:t>
        </w:r>
      </w:hyperlink>
      <w:r>
        <w:t xml:space="preserve">)</w:t>
      </w:r>
    </w:p>
    <w:p>
      <w:pPr>
        <w:pStyle w:val="BodyText"/>
      </w:pPr>
      <w:r>
        <w:t xml:space="preserve">Key questions:</w:t>
      </w:r>
    </w:p>
    <w:p>
      <w:pPr>
        <w:pStyle w:val="Compact"/>
        <w:numPr>
          <w:ilvl w:val="0"/>
          <w:numId w:val="1005"/>
        </w:numPr>
      </w:pPr>
      <w:r>
        <w:t xml:space="preserve">Has the expected closing timeline changed?</w:t>
      </w:r>
    </w:p>
    <w:p>
      <w:pPr>
        <w:pStyle w:val="Compact"/>
        <w:numPr>
          <w:ilvl w:val="0"/>
          <w:numId w:val="1005"/>
        </w:numPr>
      </w:pPr>
      <w:r>
        <w:t xml:space="preserve">What are the anticipated revenue, margin, and synergy implications?</w:t>
      </w:r>
    </w:p>
    <w:p>
      <w:pPr>
        <w:pStyle w:val="Compact"/>
        <w:numPr>
          <w:ilvl w:val="0"/>
          <w:numId w:val="1005"/>
        </w:numPr>
      </w:pPr>
      <w:r>
        <w:t xml:space="preserve">Will management quantify financing needs or the first-year EPS impact?</w:t>
      </w:r>
    </w:p>
    <w:p>
      <w:pPr>
        <w:pStyle w:val="Compact"/>
        <w:numPr>
          <w:ilvl w:val="0"/>
          <w:numId w:val="1005"/>
        </w:numPr>
      </w:pPr>
      <w:r>
        <w:t xml:space="preserve">How does Heat Controller fit alongside Allied, ADP, Samsung ductless, and Lennox’s distributor strategy?</w:t>
      </w:r>
    </w:p>
    <w:bookmarkEnd w:id="23"/>
    <w:bookmarkStart w:id="25" w:name="water-heater-launch"/>
    <w:p>
      <w:pPr>
        <w:pStyle w:val="Heading3"/>
      </w:pPr>
      <w:r>
        <w:t xml:space="preserve">Water-heater launch</w:t>
      </w:r>
    </w:p>
    <w:p>
      <w:pPr>
        <w:pStyle w:val="FirstParagraph"/>
      </w:pPr>
      <w:r>
        <w:t xml:space="preserve">The Ariston joint venture launched residential gas, electric, and heat-pump water heaters, and Lennox said initial dealer adoption and demand were ahead of plan. The category is strategically relevant because it can increase dealer share of wallet and makes use of the company’s direct distribution network. (</w:t>
      </w:r>
      <w:hyperlink r:id="rId24">
        <w:r>
          <w:rPr>
            <w:rStyle w:val="Hyperlink"/>
          </w:rPr>
          <w:t xml:space="preserve">investor.lennox.com</w:t>
        </w:r>
      </w:hyperlink>
      <w:r>
        <w:t xml:space="preserve">)</w:t>
      </w:r>
    </w:p>
    <w:p>
      <w:pPr>
        <w:pStyle w:val="BodyText"/>
      </w:pPr>
      <w:r>
        <w:t xml:space="preserve">The near-term financial contribution is likely modest, but investors should look for metrics on store rollout, dealer adoption, product availability, and the pace of distribution expansion.</w:t>
      </w:r>
    </w:p>
    <w:bookmarkEnd w:id="25"/>
    <w:bookmarkEnd w:id="26"/>
    <w:bookmarkStart w:id="27" w:name="earnings-call-checklist"/>
    <w:p>
      <w:pPr>
        <w:pStyle w:val="Heading2"/>
      </w:pPr>
      <w:r>
        <w:t xml:space="preserve">Earnings-call checklist</w:t>
      </w:r>
    </w:p>
    <w:p>
      <w:pPr>
        <w:pStyle w:val="Compact"/>
        <w:numPr>
          <w:ilvl w:val="0"/>
          <w:numId w:val="1006"/>
        </w:numPr>
      </w:pPr>
      <w:r>
        <w:rPr>
          <w:b/>
          <w:bCs/>
        </w:rPr>
        <w:t xml:space="preserve">HCS organic growth:</w:t>
      </w:r>
      <w:r>
        <w:t xml:space="preserve"> </w:t>
      </w:r>
      <w:r>
        <w:t xml:space="preserve">Did residential unit volumes improve year over year, or only sequentially?</w:t>
      </w:r>
    </w:p>
    <w:p>
      <w:pPr>
        <w:pStyle w:val="Compact"/>
        <w:numPr>
          <w:ilvl w:val="0"/>
          <w:numId w:val="1006"/>
        </w:numPr>
      </w:pPr>
      <w:r>
        <w:rPr>
          <w:b/>
          <w:bCs/>
        </w:rPr>
        <w:t xml:space="preserve">Absorption:</w:t>
      </w:r>
      <w:r>
        <w:t xml:space="preserve"> </w:t>
      </w:r>
      <w:r>
        <w:t xml:space="preserve">Is the inventory normalization / factory-utilization headwind now largely finished?</w:t>
      </w:r>
    </w:p>
    <w:p>
      <w:pPr>
        <w:pStyle w:val="Compact"/>
        <w:numPr>
          <w:ilvl w:val="0"/>
          <w:numId w:val="1006"/>
        </w:numPr>
      </w:pPr>
      <w:r>
        <w:rPr>
          <w:b/>
          <w:bCs/>
        </w:rPr>
        <w:t xml:space="preserve">HCS margins:</w:t>
      </w:r>
      <w:r>
        <w:t xml:space="preserve"> </w:t>
      </w:r>
      <w:r>
        <w:t xml:space="preserve">Did the normal seasonal margin lift return?</w:t>
      </w:r>
    </w:p>
    <w:p>
      <w:pPr>
        <w:pStyle w:val="Compact"/>
        <w:numPr>
          <w:ilvl w:val="0"/>
          <w:numId w:val="1006"/>
        </w:numPr>
      </w:pPr>
      <w:r>
        <w:rPr>
          <w:b/>
          <w:bCs/>
        </w:rPr>
        <w:t xml:space="preserve">BCS durability:</w:t>
      </w:r>
      <w:r>
        <w:t xml:space="preserve"> </w:t>
      </w:r>
      <w:r>
        <w:t xml:space="preserve">Are emergency replacement, national accounts, refrigeration, and services still growing?</w:t>
      </w:r>
    </w:p>
    <w:p>
      <w:pPr>
        <w:pStyle w:val="Compact"/>
        <w:numPr>
          <w:ilvl w:val="0"/>
          <w:numId w:val="1006"/>
        </w:numPr>
      </w:pPr>
      <w:r>
        <w:rPr>
          <w:b/>
          <w:bCs/>
        </w:rPr>
        <w:t xml:space="preserve">Guide credibility:</w:t>
      </w:r>
      <w:r>
        <w:t xml:space="preserve"> </w:t>
      </w:r>
      <w:r>
        <w:t xml:space="preserve">Does management reaffirm the</w:t>
      </w:r>
      <w:r>
        <w:t xml:space="preserve"> </w:t>
      </w:r>
      <m:oMath>
        <m:r>
          <m:t>23.50</m:t>
        </m:r>
        <m:r>
          <m:rPr>
            <m:sty m:val="p"/>
          </m:rPr>
          <m:t>–</m:t>
        </m:r>
      </m:oMath>
      <w:r>
        <w:t xml:space="preserve">25.00 EPS range with a convincing second-half bridge?</w:t>
      </w:r>
    </w:p>
    <w:p>
      <w:pPr>
        <w:pStyle w:val="Compact"/>
        <w:numPr>
          <w:ilvl w:val="0"/>
          <w:numId w:val="1006"/>
        </w:numPr>
      </w:pPr>
      <w:r>
        <w:rPr>
          <w:b/>
          <w:bCs/>
        </w:rPr>
        <w:t xml:space="preserve">Price/cost:</w:t>
      </w:r>
      <w:r>
        <w:t xml:space="preserve"> </w:t>
      </w:r>
      <w:r>
        <w:t xml:space="preserve">What portion of pricing is realized, and how much tariff or commodity pressure remains unmitigated?</w:t>
      </w:r>
    </w:p>
    <w:p>
      <w:pPr>
        <w:pStyle w:val="Compact"/>
        <w:numPr>
          <w:ilvl w:val="0"/>
          <w:numId w:val="1006"/>
        </w:numPr>
      </w:pPr>
      <w:r>
        <w:rPr>
          <w:b/>
          <w:bCs/>
        </w:rPr>
        <w:t xml:space="preserve">Cash flow:</w:t>
      </w:r>
      <w:r>
        <w:t xml:space="preserve"> </w:t>
      </w:r>
      <w:r>
        <w:t xml:space="preserve">Is working capital beginning to normalize as planned, supporting the</w:t>
      </w:r>
      <w:r>
        <w:t xml:space="preserve"> </w:t>
      </w:r>
      <m:oMath>
        <m:r>
          <m:t>750</m:t>
        </m:r>
        <m:r>
          <m:rPr>
            <m:sty m:val="p"/>
          </m:rPr>
          <m:t>–</m:t>
        </m:r>
      </m:oMath>
      <w:r>
        <w:t xml:space="preserve">850 million free-cash-flow guide?</w:t>
      </w:r>
    </w:p>
    <w:p>
      <w:pPr>
        <w:pStyle w:val="Compact"/>
        <w:numPr>
          <w:ilvl w:val="0"/>
          <w:numId w:val="1006"/>
        </w:numPr>
      </w:pPr>
      <w:r>
        <w:rPr>
          <w:b/>
          <w:bCs/>
        </w:rPr>
        <w:t xml:space="preserve">M&amp;A:</w:t>
      </w:r>
      <w:r>
        <w:t xml:space="preserve"> </w:t>
      </w:r>
      <w:r>
        <w:t xml:space="preserve">Any updated timing, economics, or regulatory commentary on Heat Controller?</w:t>
      </w:r>
    </w:p>
    <w:bookmarkEnd w:id="27"/>
    <w:bookmarkStart w:id="28" w:name="bottom-line"/>
    <w:p>
      <w:pPr>
        <w:pStyle w:val="Heading2"/>
      </w:pPr>
      <w:r>
        <w:t xml:space="preserve">Bottom line</w:t>
      </w:r>
    </w:p>
    <w:p>
      <w:pPr>
        <w:pStyle w:val="FirstParagraph"/>
      </w:pPr>
      <w:r>
        <w:t xml:space="preserve">Lennox’s 2Q report is principally an</w:t>
      </w:r>
      <w:r>
        <w:t xml:space="preserve"> </w:t>
      </w:r>
      <w:r>
        <w:rPr>
          <w:b/>
          <w:bCs/>
        </w:rPr>
        <w:t xml:space="preserve">execution and inflection-quarter test</w:t>
      </w:r>
      <w:r>
        <w:t xml:space="preserve">. BCS should provide a strong foundation, but the stock’s reaction is likely to turn on HCS: whether replacement demand, channel conditions, and production absorption improved enough to restore residential margins and de-risk the second-half earnings path.</w:t>
      </w:r>
    </w:p>
    <w:p>
      <w:pPr>
        <w:pStyle w:val="BodyText"/>
      </w:pPr>
      <w:r>
        <w:rPr>
          <w:b/>
          <w:bCs/>
        </w:rPr>
        <w:t xml:space="preserve">Bull case:</w:t>
      </w:r>
      <w:r>
        <w:t xml:space="preserve"> </w:t>
      </w:r>
      <w:r>
        <w:t xml:space="preserve">HCS volumes stabilize or grow, under-absorption fades, BCS remains robust, and full-year EPS guidance is reaffirmed with improved confidence.</w:t>
      </w:r>
    </w:p>
    <w:p>
      <w:pPr>
        <w:pStyle w:val="BodyText"/>
      </w:pPr>
      <w:r>
        <w:rPr>
          <w:b/>
          <w:bCs/>
        </w:rPr>
        <w:t xml:space="preserve">Bear case:</w:t>
      </w:r>
      <w:r>
        <w:t xml:space="preserve"> </w:t>
      </w:r>
      <w:r>
        <w:t xml:space="preserve">Residential demand proves softer than expected, HCS margins fail to seasonally recover, or management signals that price realization will lag tariff and commodity costs into the second half.</w:t>
      </w:r>
    </w:p>
    <w:p>
      <w:pPr>
        <w:pStyle w:val="BodyText"/>
      </w:pPr>
      <w:r>
        <w:t xml:space="preserve">I have intentionally not included an unverified sell-side consensus estimate; the more decision-useful variables into this release are HCS margins, BCS durability, and the credibility of the full-year guide.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lennox.com/news-events/events-and-presentations" TargetMode="External" /><Relationship Type="http://schemas.openxmlformats.org/officeDocument/2006/relationships/hyperlink" Id="rId24" Target="https://investor.lennox.com/news-releases/news-release-details/lennox-marks-one-year-anniversary-ariston-joint-venture-strong?utm_source=openai" TargetMode="External" /><Relationship Type="http://schemas.openxmlformats.org/officeDocument/2006/relationships/hyperlink" Id="rId10" Target="https://investor.lennox.com/news-releases/news-release-details/lennox-reaffirms-2026-guidance-and-announces-2030-long-term" TargetMode="External" /><Relationship Type="http://schemas.openxmlformats.org/officeDocument/2006/relationships/hyperlink" Id="rId22" Target="https://investor.lennox.com/node/30141/pdf?utm_source=openai" TargetMode="External" /><Relationship Type="http://schemas.openxmlformats.org/officeDocument/2006/relationships/hyperlink" Id="rId15" Target="https://investor.lennox.com/static-files/5134a710-1d49-4464-8ba1-ba6bd7d9cc3c?utm_source=openai" TargetMode="External" /><Relationship Type="http://schemas.openxmlformats.org/officeDocument/2006/relationships/hyperlink" Id="rId13" Target="https://investor.lennox.com/static-files/c860d519-161c-45c1-bb1d-38ceccd78b93?utm_source=openai" TargetMode="External" /><Relationship Type="http://schemas.openxmlformats.org/officeDocument/2006/relationships/hyperlink" Id="rId12" Target="https://www.investor.lennox.com/news-releases/news-release-details/lennox-reports-2026-first-quarter-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lennox.com/news-events/events-and-presentations" TargetMode="External" /><Relationship Type="http://schemas.openxmlformats.org/officeDocument/2006/relationships/hyperlink" Id="rId24" Target="https://investor.lennox.com/news-releases/news-release-details/lennox-marks-one-year-anniversary-ariston-joint-venture-strong?utm_source=openai" TargetMode="External" /><Relationship Type="http://schemas.openxmlformats.org/officeDocument/2006/relationships/hyperlink" Id="rId10" Target="https://investor.lennox.com/news-releases/news-release-details/lennox-reaffirms-2026-guidance-and-announces-2030-long-term" TargetMode="External" /><Relationship Type="http://schemas.openxmlformats.org/officeDocument/2006/relationships/hyperlink" Id="rId22" Target="https://investor.lennox.com/node/30141/pdf?utm_source=openai" TargetMode="External" /><Relationship Type="http://schemas.openxmlformats.org/officeDocument/2006/relationships/hyperlink" Id="rId15" Target="https://investor.lennox.com/static-files/5134a710-1d49-4464-8ba1-ba6bd7d9cc3c?utm_source=openai" TargetMode="External" /><Relationship Type="http://schemas.openxmlformats.org/officeDocument/2006/relationships/hyperlink" Id="rId13" Target="https://investor.lennox.com/static-files/c860d519-161c-45c1-bb1d-38ceccd78b93?utm_source=openai" TargetMode="External" /><Relationship Type="http://schemas.openxmlformats.org/officeDocument/2006/relationships/hyperlink" Id="rId12" Target="https://www.investor.lennox.com/news-releases/news-release-details/lennox-reports-2026-first-quarter-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2026-07-29T00:50:54Z</dcterms:created>
  <dcterms:modified xsi:type="dcterms:W3CDTF">2026-07-29T00:50:54Z</dcterms:modified>
</cp:coreProperties>
</file>

<file path=docProps/custom.xml><?xml version="1.0" encoding="utf-8"?>
<Properties xmlns="http://schemas.openxmlformats.org/officeDocument/2006/custom-properties" xmlns:vt="http://schemas.openxmlformats.org/officeDocument/2006/docPropsVTypes"/>
</file>