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LIN (Linde plc) before writing the preview. Let me gather recent filings, transcripts, guidance, news, and price action.Let me read the most recent earnings release and call, plus get price action.Let me get recent price action and news to round out the preview.# Linde plc (LIN) — Q2 2026 Earnings Preview</w:t>
      </w:r>
    </w:p>
    <w:bookmarkStart w:id="9" w:name="Xfcd78bb2b40fb10a8b698a290b596efd7bcce4c"/>
    <w:p>
      <w:pPr>
        <w:pStyle w:val="Heading3"/>
      </w:pPr>
      <w:r>
        <w:t xml:space="preserve">Reports before market open, Friday, July 31, 2026 | 2026Q2 Earnings Call</w:t>
      </w:r>
    </w:p>
    <w:p>
      <w:r>
        <w:pict>
          <v:rect style="width:0;height:1.5pt" o:hralign="center" o:hrstd="t" o:hr="t"/>
        </w:pict>
      </w:r>
    </w:p>
    <w:bookmarkEnd w:id="9"/>
    <w:bookmarkStart w:id="10" w:name="X10866d85e2d147302ec0dc340cf3b0c65895103"/>
    <w:p>
      <w:pPr>
        <w:pStyle w:val="Heading2"/>
      </w:pPr>
      <w:r>
        <w:t xml:space="preserve">1. The Setup: What Management Told Us to Expect</w:t>
      </w:r>
    </w:p>
    <w:p>
      <w:pPr>
        <w:pStyle w:val="FirstParagraph"/>
      </w:pPr>
      <w:r>
        <w:t xml:space="preserve">On the Q1 call (May 1), CFO Matt White gave explicit Q2 guidance and framed the year cautiously. Going in, the bar is clearly set: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Q2 2025 Actual (base)</w:t>
            </w:r>
          </w:p>
        </w:tc>
        <w:tc>
          <w:tcPr/>
          <w:p>
            <w:pPr>
              <w:pStyle w:val="Compact"/>
            </w:pPr>
            <w:r>
              <w:t xml:space="preserve">Implied Y/Y</w:t>
            </w:r>
          </w:p>
        </w:tc>
      </w:tr>
      <w:tr>
        <w:tc>
          <w:tcPr/>
          <w:p>
            <w:pPr>
              <w:pStyle w:val="Compact"/>
            </w:pPr>
            <w:r>
              <w:rPr>
                <w:b/>
                <w:bCs/>
              </w:rPr>
              <w:t xml:space="preserve">Adjusted EPS</w:t>
            </w:r>
          </w:p>
        </w:tc>
        <w:tc>
          <w:tcPr/>
          <w:p>
            <w:pPr>
              <w:pStyle w:val="Compact"/>
            </w:pPr>
            <w:r>
              <w:rPr>
                <w:b/>
                <w:bCs/>
              </w:rPr>
              <w:t xml:space="preserve">$4.40 – $4.50</w:t>
            </w:r>
          </w:p>
        </w:tc>
        <w:tc>
          <w:tcPr/>
          <w:p>
            <w:pPr>
              <w:pStyle w:val="Compact"/>
            </w:pPr>
            <w:r>
              <w:t xml:space="preserve">$4.09</w:t>
            </w:r>
          </w:p>
        </w:tc>
        <w:tc>
          <w:tcPr/>
          <w:p>
            <w:pPr>
              <w:pStyle w:val="Compact"/>
            </w:pPr>
            <w:r>
              <w:rPr>
                <w:b/>
                <w:bCs/>
              </w:rPr>
              <w:t xml:space="preserve">+8% to +10%</w:t>
            </w:r>
          </w:p>
        </w:tc>
      </w:tr>
      <w:tr>
        <w:tc>
          <w:tcPr/>
          <w:p>
            <w:pPr>
              <w:pStyle w:val="Compact"/>
            </w:pPr>
            <w:r>
              <w:t xml:space="preserve">— ex-currency</w:t>
            </w:r>
          </w:p>
        </w:tc>
        <w:tc>
          <w:tcPr/>
          <w:p>
            <w:pPr>
              <w:pStyle w:val="Compact"/>
            </w:pPr>
            <w:r>
              <w:t xml:space="preserve">—</w:t>
            </w:r>
          </w:p>
        </w:tc>
        <w:tc>
          <w:tcPr/>
          <w:p>
            <w:pPr>
              <w:pStyle w:val="Compact"/>
            </w:pPr>
            <w:r>
              <w:t xml:space="preserve">—</w:t>
            </w:r>
          </w:p>
        </w:tc>
        <w:tc>
          <w:tcPr/>
          <w:p>
            <w:pPr>
              <w:pStyle w:val="Compact"/>
            </w:pPr>
            <w:r>
              <w:t xml:space="preserve">+7% to +9% (assumes ~1% FX tailwind)</w:t>
            </w:r>
          </w:p>
        </w:tc>
      </w:tr>
      <w:tr>
        <w:tc>
          <w:tcPr/>
          <w:p>
            <w:pPr>
              <w:pStyle w:val="Compact"/>
            </w:pPr>
            <w:r>
              <w:t xml:space="preserve">Adjusted operating margin (comp)</w:t>
            </w:r>
          </w:p>
        </w:tc>
        <w:tc>
          <w:tcPr/>
          <w:p>
            <w:pPr>
              <w:pStyle w:val="Compact"/>
            </w:pPr>
            <w:r>
              <w:t xml:space="preserve">~30%+</w:t>
            </w:r>
          </w:p>
        </w:tc>
        <w:tc>
          <w:tcPr/>
          <w:p>
            <w:pPr>
              <w:pStyle w:val="Compact"/>
            </w:pPr>
            <w:r>
              <w:t xml:space="preserve">30.1%</w:t>
            </w:r>
          </w:p>
        </w:tc>
        <w:tc>
          <w:tcPr/>
          <w:p>
            <w:pPr>
              <w:pStyle w:val="Compact"/>
            </w:pPr>
            <w:r>
              <w:t xml:space="preserve">Flat-to-up</w:t>
            </w:r>
          </w:p>
        </w:tc>
      </w:tr>
      <w:tr>
        <w:tc>
          <w:tcPr/>
          <w:p>
            <w:pPr>
              <w:pStyle w:val="Compact"/>
            </w:pPr>
            <w:r>
              <w:t xml:space="preserve">Adjusted EBITDA margin (comp)</w:t>
            </w:r>
          </w:p>
        </w:tc>
        <w:tc>
          <w:tcPr/>
          <w:p>
            <w:pPr>
              <w:pStyle w:val="Compact"/>
            </w:pPr>
            <w:r>
              <w:t xml:space="preserve">~39%+</w:t>
            </w:r>
          </w:p>
        </w:tc>
        <w:tc>
          <w:tcPr/>
          <w:p>
            <w:pPr>
              <w:pStyle w:val="Compact"/>
            </w:pPr>
            <w:r>
              <w:t xml:space="preserve">39.4%</w:t>
            </w:r>
          </w:p>
        </w:tc>
        <w:tc>
          <w:tcPr/>
          <w:p>
            <w:pPr>
              <w:pStyle w:val="Compact"/>
            </w:pPr>
            <w:r>
              <w:t xml:space="preserve">Roughly stable</w:t>
            </w:r>
          </w:p>
        </w:tc>
      </w:tr>
    </w:tbl>
    <w:p>
      <w:pPr>
        <w:pStyle w:val="BodyText"/>
      </w:pPr>
      <w:r>
        <w:rPr>
          <w:b/>
          <w:bCs/>
        </w:rPr>
        <w:t xml:space="preserve">Full-year 2026 guidance stands at</w:t>
      </w:r>
      <w:r>
        <w:rPr>
          <w:b/>
          <w:bCs/>
        </w:rPr>
        <w:t xml:space="preserve"> </w:t>
      </w:r>
      <m:oMath>
        <m:r>
          <m:t>17.60</m:t>
        </m:r>
        <m:r>
          <m:rPr>
            <m:sty m:val="p"/>
          </m:rPr>
          <m:t>–</m:t>
        </m:r>
      </m:oMath>
      <w:r>
        <w:rPr>
          <w:b/>
          <w:bCs/>
        </w:rPr>
        <w:t xml:space="preserve">17.90 (+7% to +9%).</w:t>
      </w:r>
      <w:r>
        <w:t xml:space="preserve"> </w:t>
      </w:r>
      <w:r>
        <w:t xml:space="preserve">The key nuance: at Q1, management</w:t>
      </w:r>
      <w:r>
        <w:t xml:space="preserve"> </w:t>
      </w:r>
      <w:r>
        <w:rPr>
          <w:i/>
          <w:iCs/>
        </w:rPr>
        <w:t xml:space="preserve">raised the bottom of the range by $0.20</w:t>
      </w:r>
      <w:r>
        <w:t xml:space="preserve"> </w:t>
      </w:r>
      <w:r>
        <w:t xml:space="preserve">(on greater confidence in business resiliency) but deliberately</w:t>
      </w:r>
      <w:r>
        <w:t xml:space="preserve"> </w:t>
      </w:r>
      <w:r>
        <w:rPr>
          <w:i/>
          <w:iCs/>
        </w:rPr>
        <w:t xml:space="preserve">left the top at $17.90</w:t>
      </w:r>
      <w:r>
        <w:t xml:space="preserve">, with White saying it was "still early to signal increased optimism" and that he'd like "a few more months" before considering a top-end raise.</w:t>
      </w:r>
      <w:r>
        <w:t xml:space="preserve"> </w:t>
      </w:r>
      <w:r>
        <w:rPr>
          <w:b/>
          <w:bCs/>
        </w:rPr>
        <w:t xml:space="preserve">Q2 is that checkpoint</w:t>
      </w:r>
      <w:r>
        <w:t xml:space="preserve"> </w:t>
      </w:r>
      <w:r>
        <w:t xml:space="preserve">— whether Linde lifts the high end of full-year guidance is arguably the single most important signal in this print.</w:t>
      </w:r>
    </w:p>
    <w:p>
      <w:r>
        <w:pict>
          <v:rect style="width:0;height:1.5pt" o:hralign="center" o:hrstd="t" o:hr="t"/>
        </w:pict>
      </w:r>
    </w:p>
    <w:bookmarkEnd w:id="10"/>
    <w:bookmarkStart w:id="11" w:name="Xdda8d488f172b79f7c2e0fcc1793cf305539474"/>
    <w:p>
      <w:pPr>
        <w:pStyle w:val="Heading2"/>
      </w:pPr>
      <w:r>
        <w:t xml:space="preserve">2. Why This Quarter Matters</w:t>
      </w:r>
    </w:p>
    <w:p>
      <w:pPr>
        <w:pStyle w:val="FirstParagraph"/>
      </w:pPr>
      <w:r>
        <w:rPr>
          <w:b/>
          <w:bCs/>
        </w:rPr>
        <w:t xml:space="preserve">A. The top-end guidance raise is the swing factor.</w:t>
      </w:r>
      <w:r>
        <w:t xml:space="preserve"> </w:t>
      </w:r>
      <w:r>
        <w:t xml:space="preserve">Linde is a "beat-and-raise-the-floor" compounder. It has now spent essentially three-plus years operating on a "no economic improvement at the midpoint" assumption, and has delivered high-single/low-double-digit EPS growth anyway via pricing, productivity, buybacks and bolt-on M&amp;A. Investors will parse whether the macro finally justifies raising the</w:t>
      </w:r>
      <w:r>
        <w:t xml:space="preserve"> </w:t>
      </w:r>
      <w:r>
        <w:rPr>
          <w:i/>
          <w:iCs/>
        </w:rPr>
        <w:t xml:space="preserve">ceiling</w:t>
      </w:r>
      <w:r>
        <w:t xml:space="preserve">, not just defending the</w:t>
      </w:r>
      <w:r>
        <w:t xml:space="preserve"> </w:t>
      </w:r>
      <w:r>
        <w:rPr>
          <w:i/>
          <w:iCs/>
        </w:rPr>
        <w:t xml:space="preserve">floor</w:t>
      </w:r>
      <w:r>
        <w:t xml:space="preserve">.</w:t>
      </w:r>
    </w:p>
    <w:p>
      <w:pPr>
        <w:pStyle w:val="BodyText"/>
      </w:pPr>
      <w:r>
        <w:rPr>
          <w:b/>
          <w:bCs/>
        </w:rPr>
        <w:t xml:space="preserve">B. Helium is the marginal upside lever — and it's not in guidance.</w:t>
      </w:r>
      <w:r>
        <w:t xml:space="preserve"> </w:t>
      </w:r>
      <w:r>
        <w:t xml:space="preserve">This is the most-asked question on the stock (Goldman's Duffy Fischer flagged it as the #1 incoming question). Management was explicit that</w:t>
      </w:r>
      <w:r>
        <w:t xml:space="preserve"> </w:t>
      </w:r>
      <w:r>
        <w:rPr>
          <w:b/>
          <w:bCs/>
        </w:rPr>
        <w:t xml:space="preserve">guidance excludes any helium improvement</w:t>
      </w:r>
      <w:r>
        <w:t xml:space="preserve">, so incremental price/volume is pure upside. Key facts from Q1:</w:t>
      </w:r>
    </w:p>
    <w:p>
      <w:pPr>
        <w:pStyle w:val="Compact"/>
        <w:numPr>
          <w:ilvl w:val="0"/>
          <w:numId w:val="1001"/>
        </w:numPr>
      </w:pPr>
      <w:r>
        <w:t xml:space="preserve">Linde is ~85–90% contracted on helium; Q1 global helium sales were roughly flat (price down a couple points, volume up a couple points Y/Y).</w:t>
      </w:r>
    </w:p>
    <w:p>
      <w:pPr>
        <w:pStyle w:val="Compact"/>
        <w:numPr>
          <w:ilvl w:val="0"/>
          <w:numId w:val="1001"/>
        </w:numPr>
      </w:pPr>
      <w:r>
        <w:t xml:space="preserve">Acute global shortages emerged from</w:t>
      </w:r>
      <w:r>
        <w:t xml:space="preserve"> </w:t>
      </w:r>
      <w:r>
        <w:rPr>
          <w:b/>
          <w:bCs/>
        </w:rPr>
        <w:t xml:space="preserve">two distinct shocks</w:t>
      </w:r>
      <w:r>
        <w:t xml:space="preserve">: the Strait of Hormuz / Qatar supply constraint (Middle East conflict), plus a separate, more political Russian issue hitting the Chinese market.</w:t>
      </w:r>
    </w:p>
    <w:p>
      <w:pPr>
        <w:pStyle w:val="Compact"/>
        <w:numPr>
          <w:ilvl w:val="0"/>
          <w:numId w:val="1001"/>
        </w:numPr>
      </w:pPr>
      <w:r>
        <w:t xml:space="preserve">Management's priority is</w:t>
      </w:r>
      <w:r>
        <w:t xml:space="preserve"> </w:t>
      </w:r>
      <w:r>
        <w:rPr>
          <w:b/>
          <w:bCs/>
        </w:rPr>
        <w:t xml:space="preserve">long-term contracts, not spot sales</w:t>
      </w:r>
      <w:r>
        <w:t xml:space="preserve"> </w:t>
      </w:r>
      <w:r>
        <w:t xml:space="preserve">— so watch for commentary on new multi-year agreements signed and whether contract pricing is beginning to "roll through."</w:t>
      </w:r>
    </w:p>
    <w:p>
      <w:pPr>
        <w:pStyle w:val="FirstParagraph"/>
      </w:pPr>
      <w:r>
        <w:rPr>
          <w:b/>
          <w:bCs/>
        </w:rPr>
        <w:t xml:space="preserve">C. Margin trajectory.</w:t>
      </w:r>
      <w:r>
        <w:t xml:space="preserve"> </w:t>
      </w:r>
      <w:r>
        <w:t xml:space="preserve">White committed to full-year margin expansion "at the upper end or even above" the traditional 40–60 bps range (ex pass-through). Q1 came in at 30.0% adjusted op margin (flat Y/Y) with some regional noise — APAC dinged by a lower-margin equipment sale and seasonality (expected to recover to ~29%), EMEA dragged by weak volumes. Watch for APAC margin recovery and any EMEA self-help.</w:t>
      </w:r>
    </w:p>
    <w:p>
      <w:r>
        <w:pict>
          <v:rect style="width:0;height:1.5pt" o:hralign="center" o:hrstd="t" o:hr="t"/>
        </w:pict>
      </w:r>
    </w:p>
    <w:bookmarkEnd w:id="11"/>
    <w:bookmarkStart w:id="12" w:name="X14f0db4ece21f7def9f396943a3c380f892fffd"/>
    <w:p>
      <w:pPr>
        <w:pStyle w:val="Heading2"/>
      </w:pPr>
      <w:r>
        <w:t xml:space="preserve">3. Regional &amp; End-Market Scorecard (from Q1, for context)</w:t>
      </w:r>
    </w:p>
    <w:p>
      <w:pPr>
        <w:pStyle w:val="FirstParagraph"/>
      </w:pPr>
      <w:r>
        <w:t xml:space="preserve">Linde is "not running on all three cylinders":</w:t>
      </w:r>
    </w:p>
    <w:p>
      <w:pPr>
        <w:pStyle w:val="Compact"/>
        <w:numPr>
          <w:ilvl w:val="0"/>
          <w:numId w:val="1002"/>
        </w:numPr>
      </w:pPr>
      <w:r>
        <w:rPr>
          <w:b/>
          <w:bCs/>
        </w:rPr>
        <w:t xml:space="preserve">Americas — the strong cylinder.</w:t>
      </w:r>
      <w:r>
        <w:t xml:space="preserve"> </w:t>
      </w:r>
      <w:r>
        <w:t xml:space="preserve">Q1 underlying sales +6% (price +4%, volume +2%); the best volume print since Q3 2022. Benefiting from U.S. Gulf Coast refining (advantaged feedstock), Latin American upstream, protectionist tailwinds in metals, U.S. hardgoods up double-digits and packaged gases up mid-single.</w:t>
      </w:r>
      <w:r>
        <w:t xml:space="preserve"> </w:t>
      </w:r>
      <w:r>
        <w:rPr>
          <w:b/>
          <w:bCs/>
        </w:rPr>
        <w:t xml:space="preserve">Watch whether Americas momentum sustained/accelerated into Q2.</w:t>
      </w:r>
    </w:p>
    <w:p>
      <w:pPr>
        <w:pStyle w:val="Compact"/>
        <w:numPr>
          <w:ilvl w:val="0"/>
          <w:numId w:val="1002"/>
        </w:numPr>
      </w:pPr>
      <w:r>
        <w:rPr>
          <w:b/>
          <w:bCs/>
        </w:rPr>
        <w:t xml:space="preserve">EMEA — the weak cylinder.</w:t>
      </w:r>
      <w:r>
        <w:t xml:space="preserve"> </w:t>
      </w:r>
      <w:r>
        <w:t xml:space="preserve">Q1 underlying sales</w:t>
      </w:r>
      <w:r>
        <w:t xml:space="preserve"> </w:t>
      </w:r>
      <w:r>
        <w:rPr>
          <w:b/>
          <w:bCs/>
        </w:rPr>
        <w:t xml:space="preserve">-2%</w:t>
      </w:r>
      <w:r>
        <w:t xml:space="preserve"> </w:t>
      </w:r>
      <w:r>
        <w:t xml:space="preserve">(volume -3%) on weak industrial/chemical activity and on-site customers shifting production to advantaged assets elsewhere, plus direct/indirect Middle East conflict impacts. Management "not happy" — watch for stabilization or further deterioration.</w:t>
      </w:r>
    </w:p>
    <w:p>
      <w:pPr>
        <w:pStyle w:val="Compact"/>
        <w:numPr>
          <w:ilvl w:val="0"/>
          <w:numId w:val="1002"/>
        </w:numPr>
      </w:pPr>
      <w:r>
        <w:rPr>
          <w:b/>
          <w:bCs/>
        </w:rPr>
        <w:t xml:space="preserve">APAC — neutral-to-positive.</w:t>
      </w:r>
      <w:r>
        <w:t xml:space="preserve"> </w:t>
      </w:r>
      <w:r>
        <w:t xml:space="preserve">Q1 underlying +6% (volume-led, project startups); China stable, India growing. Q1 was seasonally soft.</w:t>
      </w:r>
    </w:p>
    <w:p>
      <w:pPr>
        <w:pStyle w:val="FirstParagraph"/>
      </w:pPr>
      <w:r>
        <w:rPr>
          <w:b/>
          <w:bCs/>
        </w:rPr>
        <w:t xml:space="preserve">End markets to watch:</w:t>
      </w:r>
      <w:r>
        <w:t xml:space="preserve"> </w:t>
      </w:r>
      <w:r>
        <w:t xml:space="preserve">Electronics (+10% in Q1, AI-driven) with</w:t>
      </w:r>
      <w:r>
        <w:t xml:space="preserve"> </w:t>
      </w:r>
      <w:r>
        <w:rPr>
          <w:b/>
          <w:bCs/>
        </w:rPr>
        <w:t xml:space="preserve">new backlog additions likely</w:t>
      </w:r>
      <w:r>
        <w:t xml:space="preserve"> </w:t>
      </w:r>
      <w:r>
        <w:t xml:space="preserve">— White signaled the</w:t>
      </w:r>
      <w:r>
        <w:t xml:space="preserve"> </w:t>
      </w:r>
      <w:r>
        <w:t xml:space="preserve">$7.1B sale-of-gas backlog could move to an "8-handle" by year-end. Manufacturing/aerospace strength from U.S. commercial space (Linde said it will break out **aerospace as a separate segment once it exceeds ~5% of sales**, i.e., ~$</w:t>
      </w:r>
      <w:r>
        <w:t xml:space="preserve">1.7B). Healthcare soft in U.S. home care due to a 2025 policy change (a multi-quarter headwind). Food &amp; beverage steady.</w:t>
      </w:r>
    </w:p>
    <w:p>
      <w:r>
        <w:pict>
          <v:rect style="width:0;height:1.5pt" o:hralign="center" o:hrstd="t" o:hr="t"/>
        </w:pict>
      </w:r>
    </w:p>
    <w:bookmarkEnd w:id="12"/>
    <w:bookmarkStart w:id="13" w:name="X4436802b31897fa0b27d3f13b10ff6239f051c6"/>
    <w:p>
      <w:pPr>
        <w:pStyle w:val="Heading2"/>
      </w:pPr>
      <w:r>
        <w:t xml:space="preserve">4. Specific Items to Listen For</w:t>
      </w:r>
    </w:p>
    <w:p>
      <w:pPr>
        <w:pStyle w:val="Compact"/>
        <w:numPr>
          <w:ilvl w:val="0"/>
          <w:numId w:val="1003"/>
        </w:numPr>
      </w:pPr>
      <w:r>
        <w:rPr>
          <w:b/>
          <w:bCs/>
        </w:rPr>
        <w:t xml:space="preserve">Woodside project timing.</w:t>
      </w:r>
      <w:r>
        <w:t xml:space="preserve"> </w:t>
      </w:r>
      <w:r>
        <w:t xml:space="preserve">The ATR/TNS (blue hydrogen/sequestration) phase</w:t>
      </w:r>
      <w:r>
        <w:t xml:space="preserve"> </w:t>
      </w:r>
      <w:r>
        <w:rPr>
          <w:b/>
          <w:bCs/>
        </w:rPr>
        <w:t xml:space="preserve">slipped a few months into Q1 2027</w:t>
      </w:r>
      <w:r>
        <w:t xml:space="preserve"> </w:t>
      </w:r>
      <w:r>
        <w:t xml:space="preserve">on a tough U.S. Gulf Coast construction/subcontractor environment; only a partial nitrogen start-up hits 2026. Watch for any further slippage.</w:t>
      </w:r>
    </w:p>
    <w:p>
      <w:pPr>
        <w:pStyle w:val="Compact"/>
        <w:numPr>
          <w:ilvl w:val="0"/>
          <w:numId w:val="1003"/>
        </w:numPr>
      </w:pPr>
      <w:r>
        <w:rPr>
          <w:b/>
          <w:bCs/>
        </w:rPr>
        <w:t xml:space="preserve">Electronics/AI backlog wins</w:t>
      </w:r>
      <w:r>
        <w:t xml:space="preserve"> </w:t>
      </w:r>
      <w:r>
        <w:t xml:space="preserve">— management had "high confidence" in announcing large new projects "shortly." A backlog above $7.1B would be a positive.</w:t>
      </w:r>
    </w:p>
    <w:p>
      <w:pPr>
        <w:pStyle w:val="Compact"/>
        <w:numPr>
          <w:ilvl w:val="0"/>
          <w:numId w:val="1003"/>
        </w:numPr>
      </w:pPr>
      <w:r>
        <w:rPr>
          <w:b/>
          <w:bCs/>
        </w:rPr>
        <w:t xml:space="preserve">Currency.</w:t>
      </w:r>
      <w:r>
        <w:t xml:space="preserve"> </w:t>
      </w:r>
      <w:r>
        <w:t xml:space="preserve">Guidance assumes ~1% FX tailwind based on ~month-old forwards; White noted spot was</w:t>
      </w:r>
      <w:r>
        <w:t xml:space="preserve"> </w:t>
      </w:r>
      <w:r>
        <w:rPr>
          <w:i/>
          <w:iCs/>
        </w:rPr>
        <w:t xml:space="preserve">better</w:t>
      </w:r>
      <w:r>
        <w:t xml:space="preserve"> </w:t>
      </w:r>
      <w:r>
        <w:t xml:space="preserve">at Q1, implying FX upside. Broad</w:t>
      </w:r>
      <w:r>
        <w:t xml:space="preserve"> </w:t>
      </w:r>
      <w:r>
        <w:rPr>
          <w:b/>
          <w:bCs/>
        </w:rPr>
        <w:t xml:space="preserve">dollar weakness</w:t>
      </w:r>
      <w:r>
        <w:t xml:space="preserve"> </w:t>
      </w:r>
      <w:r>
        <w:t xml:space="preserve">in the macro backdrop supports this.</w:t>
      </w:r>
    </w:p>
    <w:p>
      <w:pPr>
        <w:pStyle w:val="Compact"/>
        <w:numPr>
          <w:ilvl w:val="0"/>
          <w:numId w:val="1003"/>
        </w:numPr>
      </w:pPr>
      <w:r>
        <w:rPr>
          <w:b/>
          <w:bCs/>
        </w:rPr>
        <w:t xml:space="preserve">Capital allocation.</w:t>
      </w:r>
      <w:r>
        <w:t xml:space="preserve"> </w:t>
      </w:r>
      <w:r>
        <w:t xml:space="preserve">Q1 saw</w:t>
      </w:r>
      <w:r>
        <w:t xml:space="preserve"> </w:t>
      </w:r>
      <m:oMath>
        <m:r>
          <m:t>800</m:t>
        </m:r>
        <m:r>
          <m:t>M</m:t>
        </m:r>
        <m:r>
          <m:t>o</m:t>
        </m:r>
        <m:r>
          <m:t>f</m:t>
        </m:r>
        <m:r>
          <m:t>b</m:t>
        </m:r>
        <m:r>
          <m:t>u</m:t>
        </m:r>
        <m:r>
          <m:t>y</m:t>
        </m:r>
        <m:r>
          <m:t>b</m:t>
        </m:r>
        <m:r>
          <m:t>a</m:t>
        </m:r>
        <m:r>
          <m:t>c</m:t>
        </m:r>
        <m:r>
          <m:t>k</m:t>
        </m:r>
        <m:r>
          <m:t>s</m:t>
        </m:r>
        <m:r>
          <m:rPr>
            <m:sty m:val="p"/>
          </m:rPr>
          <m:t>,</m:t>
        </m:r>
        <m:r>
          <m:t> </m:t>
        </m:r>
      </m:oMath>
      <w:r>
        <w:t xml:space="preserve">1.5B reinvested, and a</w:t>
      </w:r>
      <w:r>
        <w:t xml:space="preserve"> </w:t>
      </w:r>
      <w:r>
        <w:rPr>
          <w:b/>
          <w:bCs/>
        </w:rPr>
        <w:t xml:space="preserve">7% dividend increase (33rd consecutive year)</w:t>
      </w:r>
      <w:r>
        <w:t xml:space="preserve">. Balance sheet is a "fortress" (adj. net debt ~$22.4B, ROC ~24%). Watch buyback pace.</w:t>
      </w:r>
    </w:p>
    <w:p>
      <w:pPr>
        <w:pStyle w:val="Compact"/>
        <w:numPr>
          <w:ilvl w:val="0"/>
          <w:numId w:val="1003"/>
        </w:numPr>
      </w:pPr>
      <w:r>
        <w:rPr>
          <w:b/>
          <w:bCs/>
        </w:rPr>
        <w:t xml:space="preserve">CEO on the call.</w:t>
      </w:r>
      <w:r>
        <w:t xml:space="preserve"> </w:t>
      </w:r>
      <w:r>
        <w:t xml:space="preserve">CEO Sanjiv Lamba was</w:t>
      </w:r>
      <w:r>
        <w:t xml:space="preserve"> </w:t>
      </w:r>
      <w:r>
        <w:rPr>
          <w:i/>
          <w:iCs/>
        </w:rPr>
        <w:t xml:space="preserve">not</w:t>
      </w:r>
      <w:r>
        <w:t xml:space="preserve"> </w:t>
      </w:r>
      <w:r>
        <w:t xml:space="preserve">on the Q1 call (White + IR ran it); management indicated he'd return. His presence/commentary on longer-term strategy would be notable.</w:t>
      </w:r>
    </w:p>
    <w:p>
      <w:pPr>
        <w:pStyle w:val="Compact"/>
        <w:numPr>
          <w:ilvl w:val="0"/>
          <w:numId w:val="1003"/>
        </w:numPr>
      </w:pPr>
      <w:r>
        <w:rPr>
          <w:b/>
          <w:bCs/>
        </w:rPr>
        <w:t xml:space="preserve">The "algo" gap.</w:t>
      </w:r>
      <w:r>
        <w:t xml:space="preserve"> </w:t>
      </w:r>
      <w:r>
        <w:t xml:space="preserve">White acknowledged Linde needs to get back to its 8–12% ex-macro EPS growth algorithm, currently dragged ~1% by helium timing and ~1% by Engineering project mix. Watch whether those drags are abating.</w:t>
      </w:r>
    </w:p>
    <w:p>
      <w:r>
        <w:pict>
          <v:rect style="width:0;height:1.5pt" o:hralign="center" o:hrstd="t" o:hr="t"/>
        </w:pict>
      </w:r>
    </w:p>
    <w:bookmarkEnd w:id="13"/>
    <w:bookmarkStart w:id="14" w:name="X3535ab0bee5fabf2f96d824c59b6be513d090f5"/>
    <w:p>
      <w:pPr>
        <w:pStyle w:val="Heading2"/>
      </w:pPr>
      <w:r>
        <w:t xml:space="preserve">5. Macro &amp; Idiosyncratic Backdrop</w:t>
      </w:r>
    </w:p>
    <w:p>
      <w:pPr>
        <w:pStyle w:val="Compact"/>
        <w:numPr>
          <w:ilvl w:val="0"/>
          <w:numId w:val="1004"/>
        </w:numPr>
      </w:pPr>
      <w:r>
        <w:rPr>
          <w:b/>
          <w:bCs/>
        </w:rPr>
        <w:t xml:space="preserve">Middle East conflict / Strait of Hormuz</w:t>
      </w:r>
      <w:r>
        <w:t xml:space="preserve"> </w:t>
      </w:r>
      <w:r>
        <w:t xml:space="preserve">remains the dominant macro swing — it's a</w:t>
      </w:r>
      <w:r>
        <w:t xml:space="preserve"> </w:t>
      </w:r>
      <w:r>
        <w:rPr>
          <w:i/>
          <w:iCs/>
        </w:rPr>
        <w:t xml:space="preserve">negative</w:t>
      </w:r>
      <w:r>
        <w:t xml:space="preserve"> </w:t>
      </w:r>
      <w:r>
        <w:t xml:space="preserve">for EMEA industrial demand but a</w:t>
      </w:r>
      <w:r>
        <w:t xml:space="preserve"> </w:t>
      </w:r>
      <w:r>
        <w:rPr>
          <w:i/>
          <w:iCs/>
        </w:rPr>
        <w:t xml:space="preserve">positive</w:t>
      </w:r>
      <w:r>
        <w:t xml:space="preserve"> </w:t>
      </w:r>
      <w:r>
        <w:t xml:space="preserve">for Americas (production relocating to feedstock-advantaged U.S./LatAm assets) and for</w:t>
      </w:r>
      <w:r>
        <w:t xml:space="preserve"> </w:t>
      </w:r>
      <w:r>
        <w:rPr>
          <w:b/>
          <w:bCs/>
        </w:rPr>
        <w:t xml:space="preserve">helium pricing</w:t>
      </w:r>
      <w:r>
        <w:t xml:space="preserve">. Also relevant: energy-security/deglobalization themes that White argued favor traditional hydrocarbons and Linde's advantaged geographies.</w:t>
      </w:r>
    </w:p>
    <w:p>
      <w:pPr>
        <w:pStyle w:val="Compact"/>
        <w:numPr>
          <w:ilvl w:val="0"/>
          <w:numId w:val="1004"/>
        </w:numPr>
      </w:pPr>
      <w:r>
        <w:rPr>
          <w:b/>
          <w:bCs/>
        </w:rPr>
        <w:t xml:space="preserve">Fed/rates &amp; FX:</w:t>
      </w:r>
      <w:r>
        <w:t xml:space="preserve"> </w:t>
      </w:r>
      <w:r>
        <w:t xml:space="preserve">Markets have been rattled by doubts over new Fed leadership's inflation resolve, with the dollar sliding — generally a modest tailwind for Linde's translated (euro-heavy) earnings.</w:t>
      </w:r>
    </w:p>
    <w:p>
      <w:pPr>
        <w:pStyle w:val="Compact"/>
        <w:numPr>
          <w:ilvl w:val="0"/>
          <w:numId w:val="1004"/>
        </w:numPr>
      </w:pPr>
      <w:r>
        <w:rPr>
          <w:b/>
          <w:bCs/>
        </w:rPr>
        <w:t xml:space="preserve">Legal watch:</w:t>
      </w:r>
      <w:r>
        <w:t xml:space="preserve"> </w:t>
      </w:r>
      <w:r>
        <w:t xml:space="preserve">Linde is in a Frankfurt court dispute with Deutsche Bank over liability for losses tied to Russia sanctions, where the court signaled it may side with the bank (July 14). Immaterial to the quarter but worth monitoring.</w:t>
      </w:r>
    </w:p>
    <w:p>
      <w:r>
        <w:pict>
          <v:rect style="width:0;height:1.5pt" o:hralign="center" o:hrstd="t" o:hr="t"/>
        </w:pict>
      </w:r>
    </w:p>
    <w:bookmarkEnd w:id="14"/>
    <w:bookmarkStart w:id="15" w:name="X599d85492dd87ed39ce623667450a9d78a16e6f"/>
    <w:p>
      <w:pPr>
        <w:pStyle w:val="Heading2"/>
      </w:pPr>
      <w:r>
        <w:t xml:space="preserve">6. Stock Context</w:t>
      </w:r>
    </w:p>
    <w:p>
      <w:pPr>
        <w:pStyle w:val="FirstParagraph"/>
      </w:pPr>
      <w:r>
        <w:t xml:space="preserve">LIN closed around</w:t>
      </w:r>
      <w:r>
        <w:t xml:space="preserve"> </w:t>
      </w:r>
      <m:oMath>
        <m:r>
          <m:t>508</m:t>
        </m:r>
        <m:r>
          <m:rPr>
            <m:sty m:val="p"/>
          </m:rPr>
          <m:t>*</m:t>
        </m:r>
        <m:r>
          <m:rPr>
            <m:sty m:val="p"/>
          </m:rPr>
          <m:t>*</m:t>
        </m:r>
        <m:r>
          <m:t>o</m:t>
        </m:r>
        <m:r>
          <m:t>n</m:t>
        </m:r>
        <m:r>
          <m:t>J</m:t>
        </m:r>
        <m:r>
          <m:t>u</m:t>
        </m:r>
        <m:r>
          <m:t>l</m:t>
        </m:r>
        <m:r>
          <m:t>y</m:t>
        </m:r>
        <m:r>
          <m:t>30</m:t>
        </m:r>
        <m:r>
          <m:rPr>
            <m:sty m:val="p"/>
          </m:rPr>
          <m:t>,</m:t>
        </m:r>
        <m:r>
          <m:t>h</m:t>
        </m:r>
        <m:r>
          <m:t>a</m:t>
        </m:r>
        <m:r>
          <m:t>v</m:t>
        </m:r>
        <m:r>
          <m:t>i</m:t>
        </m:r>
        <m:r>
          <m:t>n</m:t>
        </m:r>
        <m:r>
          <m:t>g</m:t>
        </m:r>
        <m:r>
          <m:t>p</m:t>
        </m:r>
        <m:r>
          <m:t>u</m:t>
        </m:r>
        <m:r>
          <m:t>l</m:t>
        </m:r>
        <m:r>
          <m:t>l</m:t>
        </m:r>
        <m:r>
          <m:t>e</m:t>
        </m:r>
        <m:r>
          <m:t>d</m:t>
        </m:r>
        <m:r>
          <m:t>b</m:t>
        </m:r>
        <m:r>
          <m:t>a</m:t>
        </m:r>
        <m:r>
          <m:t>c</m:t>
        </m:r>
        <m:r>
          <m:t>k</m:t>
        </m:r>
        <m:r>
          <m:t>f</m:t>
        </m:r>
        <m:r>
          <m:t>r</m:t>
        </m:r>
        <m:r>
          <m:t>o</m:t>
        </m:r>
        <m:r>
          <m:t>m</m:t>
        </m:r>
        <m:r>
          <m:t>a</m:t>
        </m:r>
        <m:r>
          <m:rPr>
            <m:sty m:val="p"/>
          </m:rPr>
          <m:t>*</m:t>
        </m:r>
        <m:r>
          <m:rPr>
            <m:sty m:val="p"/>
          </m:rPr>
          <m:t>*</m:t>
        </m:r>
        <m:r>
          <m:t> </m:t>
        </m:r>
      </m:oMath>
      <w:r>
        <w:rPr>
          <w:b/>
          <w:bCs/>
        </w:rPr>
        <w:t xml:space="preserve">546 peak in early July</w:t>
      </w:r>
      <w:r>
        <w:t xml:space="preserve"> </w:t>
      </w:r>
      <w:r>
        <w:t xml:space="preserve">(roughly -7%). The stock has traded in a</w:t>
      </w:r>
      <w:r>
        <w:t xml:space="preserve"> </w:t>
      </w:r>
      <m:oMath>
        <m:r>
          <m:t>493</m:t>
        </m:r>
        <m:r>
          <m:rPr>
            <m:sty m:val="p"/>
          </m:rPr>
          <m:t>–</m:t>
        </m:r>
      </m:oMath>
      <w:r>
        <w:t xml:space="preserve">546 band since April — consistent with a quality compounder in a "prove-it" macro. Notably, peer</w:t>
      </w:r>
      <w:r>
        <w:t xml:space="preserve"> </w:t>
      </w:r>
      <w:r>
        <w:rPr>
          <w:b/>
          <w:bCs/>
        </w:rPr>
        <w:t xml:space="preserve">Air Products (APD)</w:t>
      </w:r>
      <w:r>
        <w:t xml:space="preserve"> </w:t>
      </w:r>
      <w:r>
        <w:t xml:space="preserve">has meaningfully underperformed over the same stretch, reinforcing LIN's status as the premium operator in industrial gases. With shares off their highs into the print, positioning looks less demanding than a month ago — but expectations for the durable EPS-growth algorithm remain high.</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Linde is a low-beta compounder where the</w:t>
      </w:r>
      <w:r>
        <w:t xml:space="preserve"> </w:t>
      </w:r>
      <w:r>
        <w:rPr>
          <w:i/>
          <w:iCs/>
        </w:rPr>
        <w:t xml:space="preserve">quarter itself</w:t>
      </w:r>
      <w:r>
        <w:t xml:space="preserve"> </w:t>
      </w:r>
      <w:r>
        <w:t xml:space="preserve">rarely surprises much — Q1's small beat came almost entirely from FX, with the business "performing as anticipated." The three things that will actually move the stock and the narrative on July 31:</w:t>
      </w:r>
    </w:p>
    <w:p>
      <w:pPr>
        <w:pStyle w:val="Compact"/>
        <w:numPr>
          <w:ilvl w:val="0"/>
          <w:numId w:val="1005"/>
        </w:numPr>
      </w:pPr>
      <w:r>
        <w:rPr>
          <w:b/>
          <w:bCs/>
        </w:rPr>
        <w:t xml:space="preserve">Does Linde raise the top end of full-year guidance</w:t>
      </w:r>
      <w:r>
        <w:t xml:space="preserve"> </w:t>
      </w:r>
      <w:r>
        <w:t xml:space="preserve">(currently pinned at $17.90)? A raise signals genuine macro confidence; a hold signals continued caution.</w:t>
      </w:r>
    </w:p>
    <w:p>
      <w:pPr>
        <w:pStyle w:val="Compact"/>
        <w:numPr>
          <w:ilvl w:val="0"/>
          <w:numId w:val="1005"/>
        </w:numPr>
      </w:pPr>
      <w:r>
        <w:rPr>
          <w:b/>
          <w:bCs/>
        </w:rPr>
        <w:t xml:space="preserve">Helium</w:t>
      </w:r>
      <w:r>
        <w:t xml:space="preserve"> </w:t>
      </w:r>
      <w:r>
        <w:t xml:space="preserve">— any signs of contract pricing rolling through and new long-term volumes, which would be pure upside to guidance.</w:t>
      </w:r>
    </w:p>
    <w:p>
      <w:pPr>
        <w:pStyle w:val="Compact"/>
        <w:numPr>
          <w:ilvl w:val="0"/>
          <w:numId w:val="1005"/>
        </w:numPr>
      </w:pPr>
      <w:r>
        <w:rPr>
          <w:b/>
          <w:bCs/>
        </w:rPr>
        <w:t xml:space="preserve">Electronics/AI backlog additions</w:t>
      </w:r>
      <w:r>
        <w:t xml:space="preserve"> </w:t>
      </w:r>
      <w:r>
        <w:t xml:space="preserve">pushing the project backlog toward an "8-handle," plus</w:t>
      </w:r>
      <w:r>
        <w:t xml:space="preserve"> </w:t>
      </w:r>
      <w:r>
        <w:rPr>
          <w:b/>
          <w:bCs/>
        </w:rPr>
        <w:t xml:space="preserve">Americas volume momentum</w:t>
      </w:r>
      <w:r>
        <w:t xml:space="preserve"> </w:t>
      </w:r>
      <w:r>
        <w:t xml:space="preserve">vs.</w:t>
      </w:r>
      <w:r>
        <w:t xml:space="preserve"> </w:t>
      </w:r>
      <w:r>
        <w:rPr>
          <w:b/>
          <w:bCs/>
        </w:rPr>
        <w:t xml:space="preserve">EMEA weakness</w:t>
      </w:r>
      <w:r>
        <w:t xml:space="preserve">.</w:t>
      </w:r>
    </w:p>
    <w:p>
      <w:pPr>
        <w:pStyle w:val="FirstParagraph"/>
      </w:pPr>
      <w:r>
        <w:t xml:space="preserve">Base case: another in-line-to-modest-beat quarter (EPS around/above the</w:t>
      </w:r>
      <w:r>
        <w:t xml:space="preserve"> </w:t>
      </w:r>
      <m:oMath>
        <m:r>
          <m:t>4.40</m:t>
        </m:r>
        <m:r>
          <m:rPr>
            <m:sty m:val="p"/>
          </m:rPr>
          <m:t>–</m:t>
        </m:r>
      </m:oMath>
      <w:r>
        <w:t xml:space="preserve">4.50 range, aided by favorable FX), with the guidance-raise decision and helium commentary carrying more weight than the reported numbers.</w:t>
      </w:r>
    </w:p>
    <w:p>
      <w:pPr>
        <w:pStyle w:val="BodyText"/>
      </w:pPr>
      <w:r>
        <w:rPr>
          <w:i/>
          <w:iCs/>
        </w:rPr>
        <w:t xml:space="preserve">Note: figures above are drawn from Linde's Q1 2026 release/call and prior-period disclosures; I did not find a published sell-side consensus estimate for Q2 2026 in the available sources, so company guidance (</w:t>
      </w:r>
      <m:oMath>
        <m:r>
          <m:t>4.40</m:t>
        </m:r>
        <m:r>
          <m:rPr>
            <m:sty m:val="p"/>
          </m:rPr>
          <m:t>–</m:t>
        </m:r>
      </m:oMath>
      <w:r>
        <w:rPr>
          <w:i/>
          <w:iCs/>
        </w:rPr>
        <w:t xml:space="preserve">4.50 adjusted EPS) is the most reliable reference point.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2026-07-31T00:21:48Z</dcterms:created>
  <dcterms:modified xsi:type="dcterms:W3CDTF">2026-07-31T00:21:48Z</dcterms:modified>
</cp:coreProperties>
</file>

<file path=docProps/custom.xml><?xml version="1.0" encoding="utf-8"?>
<Properties xmlns="http://schemas.openxmlformats.org/officeDocument/2006/custom-properties" xmlns:vt="http://schemas.openxmlformats.org/officeDocument/2006/docPropsVTypes"/>
</file>