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linde-plc-lin--q2-2026-earnings-preview"/>
    <w:p>
      <w:pPr>
        <w:pStyle w:val="Heading1"/>
      </w:pPr>
      <w:r>
        <w:t xml:space="preserve">Linde plc (LIN) — Q2 2026 Earnings Preview</w:t>
      </w:r>
    </w:p>
    <w:p>
      <w:pPr>
        <w:pStyle w:val="FirstParagraph"/>
      </w:pPr>
      <w:r>
        <w:rPr>
          <w:b/>
          <w:bCs/>
        </w:rPr>
        <w:t xml:space="preserve">Report Date:</w:t>
      </w:r>
      <w:r>
        <w:t xml:space="preserve"> </w:t>
      </w:r>
      <w:r>
        <w:t xml:space="preserve">Friday, July 31, 2026, before market open |</w:t>
      </w:r>
      <w:r>
        <w:t xml:space="preserve"> </w:t>
      </w:r>
      <w:r>
        <w:rPr>
          <w:b/>
          <w:bCs/>
        </w:rPr>
        <w:t xml:space="preserve">Call:</w:t>
      </w:r>
      <w:r>
        <w:t xml:space="preserve"> </w:t>
      </w:r>
      <w:r>
        <w:t xml:space="preserve">9:00 AM ET</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Linde shares have had a strong 2026, but have cooled off into earnings. The stock ran from the low-$490s in April to a 2026 high of roughly</w:t>
      </w:r>
      <w:r>
        <w:t xml:space="preserve"> </w:t>
      </w:r>
      <m:oMath>
        <m:r>
          <m:t>546</m:t>
        </m:r>
        <m:r>
          <m:t>o</m:t>
        </m:r>
        <m:r>
          <m:t>n</m:t>
        </m:r>
        <m:r>
          <m:t>J</m:t>
        </m:r>
        <m:r>
          <m:t>u</m:t>
        </m:r>
        <m:r>
          <m:t>l</m:t>
        </m:r>
        <m:r>
          <m:t>y</m:t>
        </m:r>
        <m:r>
          <m:t>2</m:t>
        </m:r>
        <m:r>
          <m:rPr>
            <m:sty m:val="p"/>
          </m:rPr>
          <m:t>,</m:t>
        </m:r>
        <m:r>
          <m:t>b</m:t>
        </m:r>
        <m:r>
          <m:t>e</m:t>
        </m:r>
        <m:r>
          <m:t>f</m:t>
        </m:r>
        <m:r>
          <m:t>o</m:t>
        </m:r>
        <m:r>
          <m:t>r</m:t>
        </m:r>
        <m:r>
          <m:t>e</m:t>
        </m:r>
        <m:r>
          <m:t>d</m:t>
        </m:r>
        <m:r>
          <m:t>r</m:t>
        </m:r>
        <m:r>
          <m:t>i</m:t>
        </m:r>
        <m:r>
          <m:t>f</m:t>
        </m:r>
        <m:r>
          <m:t>t</m:t>
        </m:r>
        <m:r>
          <m:t>i</m:t>
        </m:r>
        <m:r>
          <m:t>n</m:t>
        </m:r>
        <m:r>
          <m:t>g</m:t>
        </m:r>
        <m:r>
          <m:t>b</m:t>
        </m:r>
        <m:r>
          <m:t>a</m:t>
        </m:r>
        <m:r>
          <m:t>c</m:t>
        </m:r>
        <m:r>
          <m:t>k</m:t>
        </m:r>
        <m:r>
          <m:t>d</m:t>
        </m:r>
        <m:r>
          <m:t>o</m:t>
        </m:r>
        <m:r>
          <m:t>w</m:t>
        </m:r>
        <m:r>
          <m:t>n</m:t>
        </m:r>
        <m:r>
          <m:t>t</m:t>
        </m:r>
        <m:r>
          <m:t>o</m:t>
        </m:r>
        <m:r>
          <m:rPr>
            <m:sty m:val="p"/>
          </m:rPr>
          <m:t>*</m:t>
        </m:r>
        <m:r>
          <m:rPr>
            <m:sty m:val="p"/>
          </m:rPr>
          <m:t>*</m:t>
        </m:r>
      </m:oMath>
      <w:r>
        <w:t xml:space="preserve">508.68** as of July 30, pressured in part by a re-escalation of the Strait of Hormuz conflict in the final days of July. Even with the pullback, LIN has meaningfully outperformed the broader market year-to-date.</w:t>
      </w:r>
    </w:p>
    <w:p>
      <w:pPr>
        <w:pStyle w:val="BodyText"/>
      </w:pPr>
      <w:r>
        <w:t xml:space="preserve">Sell-side sentiment remains constructive heading into the quarter. Consensus rates the stock a</w:t>
      </w:r>
      <w:r>
        <w:t xml:space="preserve"> </w:t>
      </w:r>
      <w:r>
        <w:rPr>
          <w:b/>
          <w:bCs/>
        </w:rPr>
        <w:t xml:space="preserve">"Strong Buy"/"Buy,"</w:t>
      </w:r>
      <w:r>
        <w:t xml:space="preserve"> </w:t>
      </w:r>
      <w:r>
        <w:t xml:space="preserve">and price targets have been climbing through July: RBC lifted its target to</w:t>
      </w:r>
      <w:r>
        <w:t xml:space="preserve"> </w:t>
      </w:r>
      <w:r>
        <w:rPr>
          <w:b/>
          <w:bCs/>
        </w:rPr>
        <w:t xml:space="preserve">$576</w:t>
      </w:r>
      <w:r>
        <w:t xml:space="preserve"> </w:t>
      </w:r>
      <w:r>
        <w:t xml:space="preserve">(from</w:t>
      </w:r>
      <w:r>
        <w:t xml:space="preserve"> </w:t>
      </w:r>
      <m:oMath>
        <m:r>
          <m:t>570</m:t>
        </m:r>
        <m:r>
          <m:rPr>
            <m:sty m:val="p"/>
          </m:rPr>
          <m:t>)</m:t>
        </m:r>
        <m:r>
          <m:t>a</m:t>
        </m:r>
        <m:r>
          <m:t>n</m:t>
        </m:r>
        <m:r>
          <m:t>d</m:t>
        </m:r>
        <m:r>
          <m:t>B</m:t>
        </m:r>
        <m:r>
          <m:t>o</m:t>
        </m:r>
        <m:r>
          <m:t>f</m:t>
        </m:r>
        <m:r>
          <m:t>A</m:t>
        </m:r>
        <m:r>
          <m:t>t</m:t>
        </m:r>
        <m:r>
          <m:t>o</m:t>
        </m:r>
        <m:r>
          <m:rPr>
            <m:sty m:val="p"/>
          </m:rPr>
          <m:t>*</m:t>
        </m:r>
        <m:r>
          <m:rPr>
            <m:sty m:val="p"/>
          </m:rPr>
          <m:t>*</m:t>
        </m:r>
      </m:oMath>
      <w:r>
        <w:t xml:space="preserve">550** (from $532) on July 17, while Evercore, UBS, BMO and Citi have all reiterated bullish stances with targets in the</w:t>
      </w:r>
      <w:r>
        <w:t xml:space="preserve"> </w:t>
      </w:r>
      <m:oMath>
        <m:r>
          <m:t>525</m:t>
        </m:r>
        <m:r>
          <m:rPr>
            <m:sty m:val="p"/>
          </m:rPr>
          <m:t>–</m:t>
        </m:r>
      </m:oMath>
      <w:r>
        <w:t xml:space="preserve">600 range in recent weeks.</w:t>
      </w:r>
    </w:p>
    <w:p>
      <w:pPr>
        <w:pStyle w:val="BodyText"/>
      </w:pPr>
      <w:r>
        <w:rPr>
          <w:b/>
          <w:bCs/>
        </w:rPr>
        <w:t xml:space="preserve">Consensus for Q2 2026:</w:t>
      </w:r>
    </w:p>
    <w:p>
      <w:pPr>
        <w:pStyle w:val="Compact"/>
        <w:numPr>
          <w:ilvl w:val="0"/>
          <w:numId w:val="1001"/>
        </w:numPr>
      </w:pPr>
      <w:r>
        <w:t xml:space="preserve">Adjusted EPS:</w:t>
      </w:r>
      <w:r>
        <w:t xml:space="preserve"> </w:t>
      </w:r>
      <w:r>
        <w:rPr>
          <w:b/>
          <w:bCs/>
        </w:rPr>
        <w:t xml:space="preserve">~$4.49</w:t>
      </w:r>
      <w:r>
        <w:t xml:space="preserve"> </w:t>
      </w:r>
      <w:r>
        <w:t xml:space="preserve">(vs. company guidance of</w:t>
      </w:r>
      <w:r>
        <w:t xml:space="preserve"> </w:t>
      </w:r>
      <m:oMath>
        <m:r>
          <m:t>4.40</m:t>
        </m:r>
        <m:r>
          <m:rPr>
            <m:sty m:val="p"/>
          </m:rPr>
          <m:t>–</m:t>
        </m:r>
      </m:oMath>
      <w:r>
        <w:t xml:space="preserve">4.50)</w:t>
      </w:r>
    </w:p>
    <w:p>
      <w:pPr>
        <w:pStyle w:val="Compact"/>
        <w:numPr>
          <w:ilvl w:val="0"/>
          <w:numId w:val="1001"/>
        </w:numPr>
      </w:pPr>
      <w:r>
        <w:t xml:space="preserve">Revenue:</w:t>
      </w:r>
      <w:r>
        <w:t xml:space="preserve"> </w:t>
      </w:r>
      <w:r>
        <w:rPr>
          <w:b/>
          <w:bCs/>
        </w:rPr>
        <w:t xml:space="preserve">~</w:t>
      </w:r>
      <m:oMath>
        <m:r>
          <m:t>8.96</m:t>
        </m:r>
        <m:r>
          <m:rPr>
            <m:sty m:val="p"/>
          </m:rPr>
          <m:t>–</m:t>
        </m:r>
      </m:oMath>
      <w:r>
        <w:rPr>
          <w:b/>
          <w:bCs/>
        </w:rPr>
        <w:t xml:space="preserve">9.02 billion</w:t>
      </w:r>
      <w:r>
        <w:t xml:space="preserve">, roughly 5.5% higher year-over-year</w:t>
      </w:r>
    </w:p>
    <w:p>
      <w:pPr>
        <w:pStyle w:val="FirstParagraph"/>
      </w:pPr>
      <w:r>
        <w:t xml:space="preserve">Linde has beaten the EPS consensus in each of the last four quarters, with Q1 2026 adjusted EPS of $4.33 topping the $4.27 estimate.</w:t>
      </w:r>
    </w:p>
    <w:bookmarkEnd w:id="9"/>
    <w:bookmarkStart w:id="10" w:name="Xdc257ad3069e9124bc5fc8003e608f2a7b149ba"/>
    <w:p>
      <w:pPr>
        <w:pStyle w:val="Heading2"/>
      </w:pPr>
      <w:r>
        <w:t xml:space="preserve">2. What Happened Last Quarter (Q1 2026 Recap)</w:t>
      </w:r>
    </w:p>
    <w:p>
      <w:pPr>
        <w:pStyle w:val="FirstParagraph"/>
      </w:pPr>
      <w:r>
        <w:t xml:space="preserve">Linde's Q1 was solid: sales of $8.8 billion were up 8% (3% underlying, plus a 5% FX tailwind), adjusted EPS rose 10% to $4.33, and adjusted operating margin held at 30.0%. Management raised the</w:t>
      </w:r>
      <w:r>
        <w:t xml:space="preserve"> </w:t>
      </w:r>
      <w:r>
        <w:rPr>
          <w:b/>
          <w:bCs/>
        </w:rPr>
        <w:t xml:space="preserve">low end</w:t>
      </w:r>
      <w:r>
        <w:t xml:space="preserve"> </w:t>
      </w:r>
      <w:r>
        <w:t xml:space="preserve">of full-year guidance to</w:t>
      </w:r>
      <w:r>
        <w:t xml:space="preserve"> </w:t>
      </w:r>
      <m:oMath>
        <m:r>
          <m:t>17.60</m:t>
        </m:r>
        <m:r>
          <m:rPr>
            <m:sty m:val="p"/>
          </m:rPr>
          <m:t>–</m:t>
        </m:r>
      </m:oMath>
      <w:r>
        <w:t xml:space="preserve">17.90 (7–9% growth) while keeping the top end unchanged, citing improved confidence in business resiliency but wanting more clarity on geopolitical volatility before getting more bullish. For Q2, guidance calls for adjusted EPS of</w:t>
      </w:r>
      <w:r>
        <w:t xml:space="preserve"> </w:t>
      </w:r>
      <m:oMath>
        <m:r>
          <m:t>4.40</m:t>
        </m:r>
        <m:r>
          <m:rPr>
            <m:sty m:val="p"/>
          </m:rPr>
          <m:t>–</m:t>
        </m:r>
      </m:oMath>
      <w:r>
        <w:rPr>
          <w:b/>
          <w:bCs/>
        </w:rPr>
        <w:t xml:space="preserve">4.50</w:t>
      </w:r>
      <w:r>
        <w:t xml:space="preserve">, up 8–10% (7–9% ex-currency), assuming no macro improvement at the midpoint.</w:t>
      </w:r>
    </w:p>
    <w:p>
      <w:pPr>
        <w:pStyle w:val="BodyText"/>
      </w:pPr>
      <w:r>
        <w:t xml:space="preserve">Segment trends to watch for continuation/inflection:</w:t>
      </w:r>
    </w:p>
    <w:p>
      <w:pPr>
        <w:pStyle w:val="Compact"/>
        <w:numPr>
          <w:ilvl w:val="0"/>
          <w:numId w:val="1002"/>
        </w:numPr>
      </w:pPr>
      <w:r>
        <w:rPr>
          <w:b/>
          <w:bCs/>
        </w:rPr>
        <w:t xml:space="preserve">Americas</w:t>
      </w:r>
      <w:r>
        <w:t xml:space="preserve"> </w:t>
      </w:r>
      <w:r>
        <w:t xml:space="preserve">was the standout, with underlying sales up 6% on higher pricing/volumes in electronics, manufacturing, metals &amp; mining, and Gulf Coast refining/hydrogen strength.</w:t>
      </w:r>
    </w:p>
    <w:p>
      <w:pPr>
        <w:pStyle w:val="Compact"/>
        <w:numPr>
          <w:ilvl w:val="0"/>
          <w:numId w:val="1002"/>
        </w:numPr>
      </w:pPr>
      <w:r>
        <w:rPr>
          <w:b/>
          <w:bCs/>
        </w:rPr>
        <w:t xml:space="preserve">EMEA</w:t>
      </w:r>
      <w:r>
        <w:t xml:space="preserve"> </w:t>
      </w:r>
      <w:r>
        <w:t xml:space="preserve">underlying sales fell 2% on weaker chemicals/energy and manufacturing volumes, with management attributing softness to customers shifting production to more feedstock-advantaged regions and to Middle East conflict spillover effects.</w:t>
      </w:r>
    </w:p>
    <w:p>
      <w:pPr>
        <w:pStyle w:val="Compact"/>
        <w:numPr>
          <w:ilvl w:val="0"/>
          <w:numId w:val="1002"/>
        </w:numPr>
      </w:pPr>
      <w:r>
        <w:rPr>
          <w:b/>
          <w:bCs/>
        </w:rPr>
        <w:t xml:space="preserve">APAC</w:t>
      </w:r>
      <w:r>
        <w:t xml:space="preserve"> </w:t>
      </w:r>
      <w:r>
        <w:t xml:space="preserve">grew 6% underlying, driven by project start-ups and electronics-related equipment sales, though margins dipped due to a lower-margin equipment mix.</w:t>
      </w:r>
    </w:p>
    <w:p>
      <w:pPr>
        <w:pStyle w:val="Compact"/>
        <w:numPr>
          <w:ilvl w:val="0"/>
          <w:numId w:val="1002"/>
        </w:numPr>
      </w:pPr>
      <w:r>
        <w:rPr>
          <w:b/>
          <w:bCs/>
        </w:rPr>
        <w:t xml:space="preserve">Linde Engineering</w:t>
      </w:r>
      <w:r>
        <w:t xml:space="preserve"> </w:t>
      </w:r>
      <w:r>
        <w:t xml:space="preserve">sales fell 8%, with a $2.8 billion sale-of-equipment backlog.</w:t>
      </w:r>
    </w:p>
    <w:bookmarkEnd w:id="10"/>
    <w:bookmarkStart w:id="11" w:name="Xb7734700470ac048fdb51807c92407f63bc7ed4"/>
    <w:p>
      <w:pPr>
        <w:pStyle w:val="Heading2"/>
      </w:pPr>
      <w:r>
        <w:t xml:space="preserve">3. The Big Swing Factor: Strait of Hormuz / Helium</w:t>
      </w:r>
    </w:p>
    <w:p>
      <w:pPr>
        <w:pStyle w:val="FirstParagraph"/>
      </w:pPr>
      <w:r>
        <w:t xml:space="preserve">This is likely the single most important theme on the call. The Iran conflict and Hormuz shipping disruption — which only affected the back third of Q1 — has now run through essentially the</w:t>
      </w:r>
      <w:r>
        <w:t xml:space="preserve"> </w:t>
      </w:r>
      <w:r>
        <w:rPr>
          <w:b/>
          <w:bCs/>
        </w:rPr>
        <w:t xml:space="preserve">entire second quarter</w:t>
      </w:r>
      <w:r>
        <w:t xml:space="preserve">, and tensions have escalated again in the final days of July, with reports of the "mutual halt" between the US and Iran collapsing and renewed strikes as recently as July 29. This matters to Linde because:</w:t>
      </w:r>
    </w:p>
    <w:p>
      <w:pPr>
        <w:pStyle w:val="Compact"/>
        <w:numPr>
          <w:ilvl w:val="0"/>
          <w:numId w:val="1003"/>
        </w:numPr>
      </w:pPr>
      <w:r>
        <w:t xml:space="preserve">Qatar is a critical global helium source, and Hormuz disruption has tightened global helium supply, with Linde's helium book roughly</w:t>
      </w:r>
      <w:r>
        <w:t xml:space="preserve"> </w:t>
      </w:r>
      <w:r>
        <w:rPr>
          <w:b/>
          <w:bCs/>
        </w:rPr>
        <w:t xml:space="preserve">85–90% contracted</w:t>
      </w:r>
      <w:r>
        <w:t xml:space="preserve">; management said it isn't planning meaningful spot sales and is prioritizing new multi-year contracts as pricing rises and rolls through the book over time.</w:t>
      </w:r>
    </w:p>
    <w:p>
      <w:pPr>
        <w:pStyle w:val="Compact"/>
        <w:numPr>
          <w:ilvl w:val="0"/>
          <w:numId w:val="1003"/>
        </w:numPr>
      </w:pPr>
      <w:r>
        <w:t xml:space="preserve">The same conflict has pressured EMEA chemicals/energy volumes as customers shift activity toward more advantaged assets in the Americas.</w:t>
      </w:r>
    </w:p>
    <w:p>
      <w:pPr>
        <w:pStyle w:val="Compact"/>
        <w:numPr>
          <w:ilvl w:val="0"/>
          <w:numId w:val="1003"/>
        </w:numPr>
      </w:pPr>
      <w:r>
        <w:t xml:space="preserve">A full quarter of disruption (versus roughly one month in Q1) raises the question of whether helium/EMEA dynamics were a bigger net tailwind (via pricing) or drag (via EMEA volumes) in Q2, and whether management's "no economic improvement" guidance assumption proved conservative or optimistic given the renewed escalation right at quarter-end.</w:t>
      </w:r>
    </w:p>
    <w:p>
      <w:pPr>
        <w:pStyle w:val="FirstParagraph"/>
      </w:pPr>
      <w:r>
        <w:t xml:space="preserve">Investors should listen for: updated helium contract wins, quantification of the EMEA chemicals/energy volume trend, and any change to the "we didn't bake in helium upside" guidance stance from Q1.</w:t>
      </w:r>
    </w:p>
    <w:bookmarkEnd w:id="11"/>
    <w:bookmarkStart w:id="12" w:name="X85dfaa9bde533d7afab0a30c18a8b283cf47e15"/>
    <w:p>
      <w:pPr>
        <w:pStyle w:val="Heading2"/>
      </w:pPr>
      <w:r>
        <w:t xml:space="preserve">4. Secular Growth Drivers to Track</w:t>
      </w:r>
    </w:p>
    <w:p>
      <w:pPr>
        <w:pStyle w:val="Compact"/>
        <w:numPr>
          <w:ilvl w:val="0"/>
          <w:numId w:val="1004"/>
        </w:numPr>
      </w:pPr>
      <w:r>
        <w:rPr>
          <w:b/>
          <w:bCs/>
        </w:rPr>
        <w:t xml:space="preserve">Electronics/AI backlog:</w:t>
      </w:r>
      <w:r>
        <w:t xml:space="preserve"> </w:t>
      </w:r>
      <w:r>
        <w:t xml:space="preserve">Management expressed high confidence on the Q1 call that new large electronics contracts (ultra-high-purity gas plants for advanced fabs) would be signed "shortly," potentially pushing the sale-of-gas backlog from just over $7 billion toward an "8-handle" by year-end. Watch for backlog updates and confirmation of new project signings.</w:t>
      </w:r>
    </w:p>
    <w:p>
      <w:pPr>
        <w:pStyle w:val="Compact"/>
        <w:numPr>
          <w:ilvl w:val="0"/>
          <w:numId w:val="1004"/>
        </w:numPr>
      </w:pPr>
      <w:r>
        <w:rPr>
          <w:b/>
          <w:bCs/>
        </w:rPr>
        <w:t xml:space="preserve">Commercial space:</w:t>
      </w:r>
      <w:r>
        <w:t xml:space="preserve"> </w:t>
      </w:r>
      <w:r>
        <w:t xml:space="preserve">A structurally growing niche (management flagged plans to break it out separately once it exceeds 5% of sales), tied to U.S. Gulf Coast launch activity, hydrogen/oxygen propellant supply, and satellite constellation replenishment cycles.</w:t>
      </w:r>
    </w:p>
    <w:p>
      <w:pPr>
        <w:pStyle w:val="Compact"/>
        <w:numPr>
          <w:ilvl w:val="0"/>
          <w:numId w:val="1004"/>
        </w:numPr>
      </w:pPr>
      <w:r>
        <w:rPr>
          <w:b/>
          <w:bCs/>
        </w:rPr>
        <w:t xml:space="preserve">Woodside (U.S. Gulf Coast hydrogen/CCS project):</w:t>
      </w:r>
      <w:r>
        <w:t xml:space="preserve"> </w:t>
      </w:r>
      <w:r>
        <w:t xml:space="preserve">Nitrogen start-up was expected mid-2026, but the ATR/TNS (hydrogen and sequestration) portions slipped from year-end 2026 into Q1 2027 due to Gulf Coast construction/subcontractor delays — worth a status check.</w:t>
      </w:r>
    </w:p>
    <w:p>
      <w:pPr>
        <w:pStyle w:val="Compact"/>
        <w:numPr>
          <w:ilvl w:val="0"/>
          <w:numId w:val="1004"/>
        </w:numPr>
      </w:pPr>
      <w:r>
        <w:rPr>
          <w:b/>
          <w:bCs/>
        </w:rPr>
        <w:t xml:space="preserve">Renewable power sourcing:</w:t>
      </w:r>
      <w:r>
        <w:t xml:space="preserve"> </w:t>
      </w:r>
      <w:r>
        <w:t xml:space="preserve">Linde signed six new PPAs across Europe, Africa and India in late July, part of a broader low-carbon energy push (roughly 50% of global electricity consumption now low-carbon).</w:t>
      </w:r>
    </w:p>
    <w:bookmarkEnd w:id="12"/>
    <w:bookmarkStart w:id="13" w:name="X20b33ac3d3cc434094be89e28fe8411e169ca57"/>
    <w:p>
      <w:pPr>
        <w:pStyle w:val="Heading2"/>
      </w:pPr>
      <w:r>
        <w:t xml:space="preserve">5. Margins, Cash Flow &amp; Capital Allocation</w:t>
      </w:r>
    </w:p>
    <w:p>
      <w:pPr>
        <w:pStyle w:val="FirstParagraph"/>
      </w:pPr>
      <w:r>
        <w:t xml:space="preserve">Management guided to full-year 2026 margin expansion at the</w:t>
      </w:r>
      <w:r>
        <w:t xml:space="preserve"> </w:t>
      </w:r>
      <w:r>
        <w:rPr>
          <w:b/>
          <w:bCs/>
        </w:rPr>
        <w:t xml:space="preserve">upper end or above</w:t>
      </w:r>
      <w:r>
        <w:t xml:space="preserve"> </w:t>
      </w:r>
      <w:r>
        <w:t xml:space="preserve">its traditional 40–60 bps annual range, driven by pricing and productivity actions, even though Q1 showed divergent trends (Americas +60 bps, EMEA +60 bps, APAC -130 bps due to equipment mix). Free cash flow was $898 million in Q1 (capex-heavy first half is seasonally normal), and the company returned</w:t>
      </w:r>
      <w:r>
        <w:t xml:space="preserve"> </w:t>
      </w:r>
      <m:oMath>
        <m:r>
          <m:t>1.5</m:t>
        </m:r>
        <m:r>
          <m:t>b</m:t>
        </m:r>
        <m:r>
          <m:t>i</m:t>
        </m:r>
        <m:r>
          <m:t>l</m:t>
        </m:r>
        <m:r>
          <m:t>l</m:t>
        </m:r>
        <m:r>
          <m:t>i</m:t>
        </m:r>
        <m:r>
          <m:t>o</m:t>
        </m:r>
        <m:r>
          <m:t>n</m:t>
        </m:r>
        <m:r>
          <m:t>t</m:t>
        </m:r>
        <m:r>
          <m:t>o</m:t>
        </m:r>
        <m:r>
          <m:t>s</m:t>
        </m:r>
        <m:r>
          <m:t>h</m:t>
        </m:r>
        <m:r>
          <m:t>a</m:t>
        </m:r>
        <m:r>
          <m:t>r</m:t>
        </m:r>
        <m:r>
          <m:t>e</m:t>
        </m:r>
        <m:r>
          <m:t>h</m:t>
        </m:r>
        <m:r>
          <m:t>o</m:t>
        </m:r>
        <m:r>
          <m:t>l</m:t>
        </m:r>
        <m:r>
          <m:t>d</m:t>
        </m:r>
        <m:r>
          <m:t>e</m:t>
        </m:r>
        <m:r>
          <m:t>r</m:t>
        </m:r>
        <m:r>
          <m:t>s</m:t>
        </m:r>
        <m:r>
          <m:t>v</m:t>
        </m:r>
        <m:r>
          <m:t>i</m:t>
        </m:r>
        <m:r>
          <m:t>a</m:t>
        </m:r>
        <m:r>
          <m:t>d</m:t>
        </m:r>
        <m:r>
          <m:t>i</m:t>
        </m:r>
        <m:r>
          <m:t>v</m:t>
        </m:r>
        <m:r>
          <m:t>i</m:t>
        </m:r>
        <m:r>
          <m:t>d</m:t>
        </m:r>
        <m:r>
          <m:t>e</m:t>
        </m:r>
        <m:r>
          <m:t>n</m:t>
        </m:r>
        <m:r>
          <m:t>d</m:t>
        </m:r>
        <m:r>
          <m:t>s</m:t>
        </m:r>
        <m:r>
          <m:t>a</m:t>
        </m:r>
        <m:r>
          <m:t>n</m:t>
        </m:r>
        <m:r>
          <m:t>d</m:t>
        </m:r>
        <m:r>
          <m:t>b</m:t>
        </m:r>
        <m:r>
          <m:t>u</m:t>
        </m:r>
        <m:r>
          <m:t>y</m:t>
        </m:r>
        <m:r>
          <m:t>b</m:t>
        </m:r>
        <m:r>
          <m:t>a</m:t>
        </m:r>
        <m:r>
          <m:t>c</m:t>
        </m:r>
        <m:r>
          <m:t>k</m:t>
        </m:r>
        <m:r>
          <m:t>s</m:t>
        </m:r>
        <m:r>
          <m:rPr>
            <m:sty m:val="p"/>
          </m:rPr>
          <m:t>,</m:t>
        </m:r>
        <m:r>
          <m:t>e</m:t>
        </m:r>
        <m:r>
          <m:t>x</m:t>
        </m:r>
        <m:r>
          <m:t>t</m:t>
        </m:r>
        <m:r>
          <m:t>e</m:t>
        </m:r>
        <m:r>
          <m:t>n</m:t>
        </m:r>
        <m:r>
          <m:t>d</m:t>
        </m:r>
        <m:r>
          <m:t>i</m:t>
        </m:r>
        <m:r>
          <m:t>n</m:t>
        </m:r>
        <m:r>
          <m:t>g</m:t>
        </m:r>
        <m:r>
          <m:t>a</m:t>
        </m:r>
        <m:r>
          <m:t>33</m:t>
        </m:r>
        <m:r>
          <m:rPr>
            <m:sty m:val="p"/>
          </m:rPr>
          <m:t>−</m:t>
        </m:r>
        <m:r>
          <m:t>y</m:t>
        </m:r>
        <m:r>
          <m:t>e</m:t>
        </m:r>
        <m:r>
          <m:t>a</m:t>
        </m:r>
        <m:r>
          <m:t>r</m:t>
        </m:r>
        <m:r>
          <m:t>s</m:t>
        </m:r>
        <m:r>
          <m:t>t</m:t>
        </m:r>
        <m:r>
          <m:t>r</m:t>
        </m:r>
        <m:r>
          <m:t>e</m:t>
        </m:r>
        <m:r>
          <m:t>a</m:t>
        </m:r>
        <m:r>
          <m:t>k</m:t>
        </m:r>
        <m:r>
          <m:t>o</m:t>
        </m:r>
        <m:r>
          <m:t>f</m:t>
        </m:r>
        <m:r>
          <m:t>d</m:t>
        </m:r>
        <m:r>
          <m:t>i</m:t>
        </m:r>
        <m:r>
          <m:t>v</m:t>
        </m:r>
        <m:r>
          <m:t>i</m:t>
        </m:r>
        <m:r>
          <m:t>d</m:t>
        </m:r>
        <m:r>
          <m:t>e</m:t>
        </m:r>
        <m:r>
          <m:t>n</m:t>
        </m:r>
        <m:r>
          <m:t>d</m:t>
        </m:r>
        <m:r>
          <m:t>i</m:t>
        </m:r>
        <m:r>
          <m:t>n</m:t>
        </m:r>
        <m:r>
          <m:t>c</m:t>
        </m:r>
        <m:r>
          <m:t>r</m:t>
        </m:r>
        <m:r>
          <m:t>e</m:t>
        </m:r>
        <m:r>
          <m:t>a</m:t>
        </m:r>
        <m:r>
          <m:t>s</m:t>
        </m:r>
        <m:r>
          <m:t>e</m:t>
        </m:r>
        <m:r>
          <m:t>s</m:t>
        </m:r>
        <m:r>
          <m:rPr>
            <m:sty m:val="p"/>
          </m:rPr>
          <m:t>(</m:t>
        </m:r>
        <m:r>
          <m:t>7</m:t>
        </m:r>
      </m:oMath>
      <w:r>
        <w:t xml:space="preserve">5.0–5.5 billion**. Watch for confirmation that the margin/ROC trajectory (adjusted after-tax ROC was 23.8% in Q1, still trending down slightly from prior quarters) is stabilizing.</w:t>
      </w:r>
    </w:p>
    <w:bookmarkEnd w:id="13"/>
    <w:bookmarkStart w:id="14" w:name="X4396c4a88b3432f0c6c4c7db20fb2ab6f8d40b3"/>
    <w:p>
      <w:pPr>
        <w:pStyle w:val="Heading2"/>
      </w:pPr>
      <w:r>
        <w:t xml:space="preserve">6. Governance Note</w:t>
      </w:r>
    </w:p>
    <w:p>
      <w:pPr>
        <w:pStyle w:val="FirstParagraph"/>
      </w:pPr>
      <w:r>
        <w:t xml:space="preserve">Just ahead of earnings, Linde's July 28 shareholder meeting saw investors</w:t>
      </w:r>
      <w:r>
        <w:t xml:space="preserve"> </w:t>
      </w:r>
      <w:r>
        <w:rPr>
          <w:b/>
          <w:bCs/>
        </w:rPr>
        <w:t xml:space="preserve">approve directors, the auditor and executive pay, while rejecting a renewable-energy/climate lobbying report proposal</w:t>
      </w:r>
      <w:r>
        <w:t xml:space="preserve"> </w:t>
      </w:r>
      <w:r>
        <w:t xml:space="preserve">— a modest but notable governance data point heading into the print.</w:t>
      </w:r>
    </w:p>
    <w:bookmarkEnd w:id="14"/>
    <w:bookmarkStart w:id="15" w:name="X0998557fbb4eadba825fc4998414d4abc9f441d"/>
    <w:p>
      <w:pPr>
        <w:pStyle w:val="Heading2"/>
      </w:pPr>
      <w:r>
        <w:t xml:space="preserve">7. Key Questions for the Call</w:t>
      </w:r>
    </w:p>
    <w:p>
      <w:pPr>
        <w:pStyle w:val="Compact"/>
        <w:numPr>
          <w:ilvl w:val="0"/>
          <w:numId w:val="1005"/>
        </w:numPr>
      </w:pPr>
      <w:r>
        <w:t xml:space="preserve">How did the full-quarter impact of the Hormuz/Iran conflict net out for helium pricing/volumes and EMEA chemicals &amp; energy — tailwind or drag versus Q1's partial-quarter impact?</w:t>
      </w:r>
    </w:p>
    <w:p>
      <w:pPr>
        <w:pStyle w:val="Compact"/>
        <w:numPr>
          <w:ilvl w:val="0"/>
          <w:numId w:val="1005"/>
        </w:numPr>
      </w:pPr>
      <w:r>
        <w:t xml:space="preserve">Did the late-July escalation change management's near-term outlook or full-year guidance philosophy (still "no economic improvement" baseline)?</w:t>
      </w:r>
    </w:p>
    <w:p>
      <w:pPr>
        <w:pStyle w:val="Compact"/>
        <w:numPr>
          <w:ilvl w:val="0"/>
          <w:numId w:val="1005"/>
        </w:numPr>
      </w:pPr>
      <w:r>
        <w:t xml:space="preserve">Any progress on the anticipated large electronics/AI-linked backlog additions, and updated timing/size of the sale-of-gas backlog?</w:t>
      </w:r>
    </w:p>
    <w:p>
      <w:pPr>
        <w:pStyle w:val="Compact"/>
        <w:numPr>
          <w:ilvl w:val="0"/>
          <w:numId w:val="1005"/>
        </w:numPr>
      </w:pPr>
      <w:r>
        <w:t xml:space="preserve">Update on Woodside project timeline and other backlog execution risk (labor/subcontractor constraints on the Gulf Coast)?</w:t>
      </w:r>
    </w:p>
    <w:p>
      <w:pPr>
        <w:pStyle w:val="Compact"/>
        <w:numPr>
          <w:ilvl w:val="0"/>
          <w:numId w:val="1005"/>
        </w:numPr>
      </w:pPr>
      <w:r>
        <w:t xml:space="preserve">Confirmation of full-year margin expansion trending toward the "upper end or above" the normal 40–60bps range, and where regional margins (especially APAC and EMEA) are heading in Q3.</w:t>
      </w:r>
    </w:p>
    <w:p>
      <w:pPr>
        <w:pStyle w:val="Compact"/>
        <w:numPr>
          <w:ilvl w:val="0"/>
          <w:numId w:val="1005"/>
        </w:numPr>
      </w:pPr>
      <w:r>
        <w:t xml:space="preserve">Capital allocation cadence — buyback pace relative to the $1.5B/quarter run rate, and bolt-on M&amp;A activity (9 deals signed in Q1 alone).</w:t>
      </w:r>
    </w:p>
    <w:bookmarkEnd w:id="15"/>
    <w:bookmarkStart w:id="16" w:name="bottom-line"/>
    <w:p>
      <w:pPr>
        <w:pStyle w:val="Heading2"/>
      </w:pPr>
      <w:r>
        <w:t xml:space="preserve">Bottom Line</w:t>
      </w:r>
    </w:p>
    <w:p>
      <w:pPr>
        <w:pStyle w:val="FirstParagraph"/>
      </w:pPr>
      <w:r>
        <w:t xml:space="preserve">Linde enters Q2 earnings with a resilient, contract-backed base business, a growing AI/electronics- and space-linked backlog, and management guidance (</w:t>
      </w:r>
      <m:oMath>
        <m:r>
          <m:t>4.40</m:t>
        </m:r>
        <m:r>
          <m:rPr>
            <m:sty m:val="p"/>
          </m:rPr>
          <m:t>–</m:t>
        </m:r>
      </m:oMath>
      <w:r>
        <w:t xml:space="preserve">4.50 EPS) that assumes no macro improvement — a bar that should be clearable given the company's beat streak. The x-factor is geopolitical: a full quarter of Strait of Hormuz disruption, a renewed escalation right before the print, and the offsetting push-pull between helium/pricing upside and EMEA volume drag make this a report where the qualitative commentary on the Middle East situation may matter as much as the headline EPS beat/miss.</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2026-07-31T00:19:14Z</dcterms:created>
  <dcterms:modified xsi:type="dcterms:W3CDTF">2026-07-31T00:19:14Z</dcterms:modified>
</cp:coreProperties>
</file>

<file path=docProps/custom.xml><?xml version="1.0" encoding="utf-8"?>
<Properties xmlns="http://schemas.openxmlformats.org/officeDocument/2006/custom-properties" xmlns:vt="http://schemas.openxmlformats.org/officeDocument/2006/docPropsVTypes"/>
</file>