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7" w:name="X528198667a551107f7ef598d7c9d7c4444af15b"/>
    <w:p>
      <w:pPr>
        <w:pStyle w:val="Heading1"/>
      </w:pPr>
      <w:r>
        <w:t xml:space="preserve">Linde (NASDAQ: LIN) — Q2 2026 Earnings Preview</w:t>
      </w:r>
    </w:p>
    <w:p>
      <w:pPr>
        <w:pStyle w:val="BlockText"/>
      </w:pPr>
      <w:r>
        <w:rPr>
          <w:b/>
          <w:bCs/>
        </w:rPr>
        <w:t xml:space="preserve">Calendar note:</w:t>
      </w:r>
      <w:r>
        <w:t xml:space="preserve"> </w:t>
      </w:r>
      <w:r>
        <w:t xml:space="preserve">The stated event date,</w:t>
      </w:r>
      <w:r>
        <w:t xml:space="preserve"> </w:t>
      </w:r>
      <w:r>
        <w:rPr>
          <w:b/>
          <w:bCs/>
        </w:rPr>
        <w:t xml:space="preserve">Friday, July 31, 2026, is today—not tomorrow</w:t>
      </w:r>
      <w:r>
        <w:t xml:space="preserve">. Linde is scheduled to release results by 6:00 a.m. ET and hold its earnings call at 9:00 a.m. ET. No Q2 release was available in the sources checked, so this is written as a pre-report preview. (</w:t>
      </w:r>
      <w:hyperlink r:id="rId9">
        <w:r>
          <w:rPr>
            <w:rStyle w:val="Hyperlink"/>
          </w:rPr>
          <w:t xml:space="preserve">linde.com</w:t>
        </w:r>
      </w:hyperlink>
      <w:r>
        <w:t xml:space="preserve">)</w:t>
      </w:r>
    </w:p>
    <w:bookmarkStart w:id="11" w:name="preview-at-a-glance"/>
    <w:p>
      <w:pPr>
        <w:pStyle w:val="Heading2"/>
      </w:pPr>
      <w:r>
        <w:t xml:space="preserve">Preview at a glance</w:t>
      </w:r>
    </w:p>
    <w:tbl>
      <w:tblPr>
        <w:tblStyle w:val="Table"/>
        <w:tblW w:type="auto" w:w="0"/>
        <w:tblLook w:firstRow="1" w:lastRow="0" w:firstColumn="0" w:lastColumn="0" w:noHBand="0" w:noVBand="0" w:val="0020"/>
      </w:tblPr>
      <w:tblGrid>
        <w:gridCol w:w="2640"/>
        <w:gridCol w:w="2640"/>
        <w:gridCol w:w="2640"/>
      </w:tblGrid>
      <w:tr>
        <w:trPr>
          <w:tblHeader w:val="on"/>
        </w:trPr>
        <w:tc>
          <w:tcPr/>
          <w:p>
            <w:pPr>
              <w:pStyle w:val="Compact"/>
            </w:pPr>
            <w:r>
              <w:t xml:space="preserve">Metric</w:t>
            </w:r>
          </w:p>
        </w:tc>
        <w:tc>
          <w:tcPr/>
          <w:p>
            <w:pPr>
              <w:pStyle w:val="Compact"/>
              <w:jc w:val="right"/>
            </w:pPr>
            <w:r>
              <w:t xml:space="preserve">Q2 2026 benchmark</w:t>
            </w:r>
          </w:p>
        </w:tc>
        <w:tc>
          <w:tcPr/>
          <w:p>
            <w:pPr>
              <w:pStyle w:val="Compact"/>
              <w:jc w:val="right"/>
            </w:pPr>
            <w:r>
              <w:t xml:space="preserve">Q2 2025</w:t>
            </w:r>
          </w:p>
        </w:tc>
      </w:tr>
      <w:tr>
        <w:tc>
          <w:tcPr/>
          <w:p>
            <w:pPr>
              <w:pStyle w:val="Compact"/>
            </w:pPr>
            <w:r>
              <w:t xml:space="preserve">Adjusted EPS</w:t>
            </w:r>
          </w:p>
        </w:tc>
        <w:tc>
          <w:tcPr/>
          <w:p>
            <w:pPr>
              <w:pStyle w:val="Compact"/>
              <w:jc w:val="right"/>
            </w:pPr>
            <w:r>
              <w:rPr>
                <w:b/>
                <w:bCs/>
              </w:rPr>
              <w:t xml:space="preserve">Street:</w:t>
            </w:r>
            <w:r>
              <w:rPr>
                <w:b/>
                <w:bCs/>
              </w:rPr>
              <w:t xml:space="preserve"> </w:t>
            </w:r>
            <m:oMath>
              <m:r>
                <m:t>4.49</m:t>
              </m:r>
              <m:r>
                <m:rPr>
                  <m:sty m:val="p"/>
                </m:rPr>
                <m:t>*</m:t>
              </m:r>
              <m:r>
                <m:rPr>
                  <m:sty m:val="p"/>
                </m:rPr>
                <m:t>*</m:t>
              </m:r>
              <m:r>
                <m:rPr>
                  <m:sty m:val="p"/>
                </m:rPr>
                <m:t>;</m:t>
              </m:r>
              <m:r>
                <m:t>c</m:t>
              </m:r>
              <m:r>
                <m:t>o</m:t>
              </m:r>
              <m:r>
                <m:t>m</m:t>
              </m:r>
              <m:r>
                <m:t>p</m:t>
              </m:r>
              <m:r>
                <m:t>a</m:t>
              </m:r>
              <m:r>
                <m:t>n</m:t>
              </m:r>
              <m:r>
                <m:t>y</m:t>
              </m:r>
              <m:r>
                <m:t>g</m:t>
              </m:r>
              <m:r>
                <m:t>u</m:t>
              </m:r>
              <m:r>
                <m:t>i</m:t>
              </m:r>
              <m:r>
                <m:t>d</m:t>
              </m:r>
              <m:r>
                <m:t>e</m:t>
              </m:r>
              <m:r>
                <m:rPr>
                  <m:sty m:val="p"/>
                </m:rPr>
                <m:t>:</m:t>
              </m:r>
              <m:r>
                <m:rPr>
                  <m:sty m:val="p"/>
                </m:rPr>
                <m:t>*</m:t>
              </m:r>
              <m:r>
                <m:rPr>
                  <m:sty m:val="p"/>
                </m:rPr>
                <m:t>*</m:t>
              </m:r>
            </m:oMath>
            <w:r>
              <w:rPr>
                <w:b/>
                <w:bCs/>
              </w:rPr>
              <w:t xml:space="preserve">4.40–$4.50</w:t>
            </w:r>
          </w:p>
        </w:tc>
        <w:tc>
          <w:tcPr/>
          <w:p>
            <w:pPr>
              <w:pStyle w:val="Compact"/>
              <w:jc w:val="right"/>
            </w:pPr>
            <w:r>
              <w:t xml:space="preserve">$4.09</w:t>
            </w:r>
          </w:p>
        </w:tc>
      </w:tr>
      <w:tr>
        <w:tc>
          <w:tcPr/>
          <w:p>
            <w:pPr>
              <w:pStyle w:val="Compact"/>
            </w:pPr>
            <w:r>
              <w:t xml:space="preserve">Revenue</w:t>
            </w:r>
          </w:p>
        </w:tc>
        <w:tc>
          <w:tcPr/>
          <w:p>
            <w:pPr>
              <w:pStyle w:val="Compact"/>
              <w:jc w:val="right"/>
            </w:pPr>
            <w:r>
              <w:rPr>
                <w:b/>
                <w:bCs/>
              </w:rPr>
              <w:t xml:space="preserve">Street: approximately $9.02B</w:t>
            </w:r>
          </w:p>
        </w:tc>
        <w:tc>
          <w:tcPr/>
          <w:p>
            <w:pPr>
              <w:pStyle w:val="Compact"/>
              <w:jc w:val="right"/>
            </w:pPr>
            <w:r>
              <w:t xml:space="preserve">$8.50B</w:t>
            </w:r>
          </w:p>
        </w:tc>
      </w:tr>
      <w:tr>
        <w:tc>
          <w:tcPr/>
          <w:p>
            <w:pPr>
              <w:pStyle w:val="Compact"/>
            </w:pPr>
            <w:r>
              <w:t xml:space="preserve">Adjusted operating margin</w:t>
            </w:r>
          </w:p>
        </w:tc>
        <w:tc>
          <w:tcPr/>
          <w:p>
            <w:pPr>
              <w:pStyle w:val="Compact"/>
              <w:jc w:val="right"/>
            </w:pPr>
            <w:r>
              <w:t xml:space="preserve">No formal quarterly target</w:t>
            </w:r>
          </w:p>
        </w:tc>
        <w:tc>
          <w:tcPr/>
          <w:p>
            <w:pPr>
              <w:pStyle w:val="Compact"/>
              <w:jc w:val="right"/>
            </w:pPr>
            <w:r>
              <w:t xml:space="preserve">30.1%</w:t>
            </w:r>
          </w:p>
        </w:tc>
      </w:tr>
      <w:tr>
        <w:tc>
          <w:tcPr/>
          <w:p>
            <w:pPr>
              <w:pStyle w:val="Compact"/>
            </w:pPr>
            <w:r>
              <w:t xml:space="preserve">FY2026 adjusted EPS</w:t>
            </w:r>
          </w:p>
        </w:tc>
        <w:tc>
          <w:tcPr/>
          <w:p>
            <w:pPr>
              <w:pStyle w:val="Compact"/>
              <w:jc w:val="right"/>
            </w:pPr>
            <w:r>
              <w:t xml:space="preserve">Company guide:</w:t>
            </w:r>
            <w:r>
              <w:t xml:space="preserve"> </w:t>
            </w:r>
            <m:oMath>
              <m:r>
                <m:t>17.60</m:t>
              </m:r>
              <m:r>
                <m:rPr>
                  <m:sty m:val="p"/>
                </m:rPr>
                <m:t>–</m:t>
              </m:r>
            </m:oMath>
            <w:r>
              <w:rPr>
                <w:b/>
                <w:bCs/>
              </w:rPr>
              <w:t xml:space="preserve">17.90</w:t>
            </w:r>
            <w:r>
              <w:t xml:space="preserve">; Street: approximately</w:t>
            </w:r>
            <w:r>
              <w:t xml:space="preserve"> </w:t>
            </w:r>
            <w:r>
              <w:rPr>
                <w:b/>
                <w:bCs/>
              </w:rPr>
              <w:t xml:space="preserve">$17.89</w:t>
            </w:r>
          </w:p>
        </w:tc>
        <w:tc>
          <w:tcPr/>
          <w:p>
            <w:pPr>
              <w:pStyle w:val="Compact"/>
              <w:jc w:val="right"/>
            </w:pPr>
            <w:r>
              <w:t xml:space="preserve">$16.45 actual FY2025</w:t>
            </w:r>
          </w:p>
        </w:tc>
      </w:tr>
      <w:tr>
        <w:tc>
          <w:tcPr/>
          <w:p>
            <w:pPr>
              <w:pStyle w:val="Compact"/>
            </w:pPr>
            <w:r>
              <w:t xml:space="preserve">Capital expenditures</w:t>
            </w:r>
          </w:p>
        </w:tc>
        <w:tc>
          <w:tcPr/>
          <w:p>
            <w:pPr>
              <w:pStyle w:val="Compact"/>
              <w:jc w:val="right"/>
            </w:pPr>
            <w:r>
              <w:t xml:space="preserve">FY guide:</w:t>
            </w:r>
            <w:r>
              <w:t xml:space="preserve"> </w:t>
            </w:r>
            <m:oMath>
              <m:r>
                <m:t>5.0</m:t>
              </m:r>
              <m:r>
                <m:rPr>
                  <m:sty m:val="p"/>
                </m:rPr>
                <m:t>–</m:t>
              </m:r>
            </m:oMath>
            <w:r>
              <w:rPr>
                <w:b/>
                <w:bCs/>
              </w:rPr>
              <w:t xml:space="preserve">5.5B</w:t>
            </w:r>
          </w:p>
        </w:tc>
        <w:tc>
          <w:tcPr/>
          <w:p>
            <w:pPr>
              <w:pStyle w:val="Compact"/>
              <w:jc w:val="right"/>
            </w:pPr>
            <w:r>
              <w:t xml:space="preserve">—</w:t>
            </w:r>
          </w:p>
        </w:tc>
      </w:tr>
      <w:tr>
        <w:tc>
          <w:tcPr/>
          <w:p>
            <w:pPr>
              <w:pStyle w:val="Compact"/>
            </w:pPr>
            <w:r>
              <w:t xml:space="preserve">Sale-of-gas backlog</w:t>
            </w:r>
          </w:p>
        </w:tc>
        <w:tc>
          <w:tcPr/>
          <w:p>
            <w:pPr>
              <w:pStyle w:val="Compact"/>
              <w:jc w:val="right"/>
            </w:pPr>
            <w:r>
              <w:t xml:space="preserve">$7.1B entering Q2</w:t>
            </w:r>
          </w:p>
        </w:tc>
        <w:tc>
          <w:tcPr/>
          <w:p>
            <w:pPr>
              <w:pStyle w:val="Compact"/>
              <w:jc w:val="right"/>
            </w:pPr>
            <w:r>
              <w:t xml:space="preserve">$7.1B a year earlier</w:t>
            </w:r>
          </w:p>
        </w:tc>
      </w:tr>
    </w:tbl>
    <w:p>
      <w:pPr>
        <w:pStyle w:val="BodyText"/>
      </w:pPr>
      <w:r>
        <w:t xml:space="preserve">Consensus points to approximately</w:t>
      </w:r>
      <w:r>
        <w:t xml:space="preserve"> </w:t>
      </w:r>
      <w:r>
        <w:rPr>
          <w:b/>
          <w:bCs/>
        </w:rPr>
        <w:t xml:space="preserve">10% EPS growth and 6% reported revenue growth</w:t>
      </w:r>
      <w:r>
        <w:t xml:space="preserve">. The Street’s $4.49 EPS estimate is almost at the top of management’s range, while the full-year consensus is essentially equal to the $17.90 upper end of guidance. There is consequently little room for an ordinary “meet and maintain” report to drive meaningful estimate revisions. (</w:t>
      </w:r>
      <w:hyperlink r:id="rId10">
        <w:r>
          <w:rPr>
            <w:rStyle w:val="Hyperlink"/>
          </w:rPr>
          <w:t xml:space="preserve">marketbeat.com</w:t>
        </w:r>
      </w:hyperlink>
      <w:r>
        <w:t xml:space="preserve">)</w:t>
      </w:r>
    </w:p>
    <w:bookmarkEnd w:id="11"/>
    <w:bookmarkStart w:id="13" w:name="investment-setup"/>
    <w:p>
      <w:pPr>
        <w:pStyle w:val="Heading2"/>
      </w:pPr>
      <w:r>
        <w:t xml:space="preserve">Investment setup</w:t>
      </w:r>
    </w:p>
    <w:p>
      <w:pPr>
        <w:pStyle w:val="FirstParagraph"/>
      </w:pPr>
      <w:r>
        <w:t xml:space="preserve">Linde entered the quarter with strong operational momentum despite an uneven industrial economy:</w:t>
      </w:r>
    </w:p>
    <w:p>
      <w:pPr>
        <w:pStyle w:val="Compact"/>
        <w:numPr>
          <w:ilvl w:val="0"/>
          <w:numId w:val="1001"/>
        </w:numPr>
      </w:pPr>
      <w:r>
        <w:t xml:space="preserve">Q1 adjusted EPS rose 10% to $4.33.</w:t>
      </w:r>
    </w:p>
    <w:p>
      <w:pPr>
        <w:pStyle w:val="Compact"/>
        <w:numPr>
          <w:ilvl w:val="0"/>
          <w:numId w:val="1001"/>
        </w:numPr>
      </w:pPr>
      <w:r>
        <w:t xml:space="preserve">Underlying sales increased 3%, consisting of 2% pricing and 1% volume.</w:t>
      </w:r>
    </w:p>
    <w:p>
      <w:pPr>
        <w:pStyle w:val="Compact"/>
        <w:numPr>
          <w:ilvl w:val="0"/>
          <w:numId w:val="1001"/>
        </w:numPr>
      </w:pPr>
      <w:r>
        <w:t xml:space="preserve">Adjusted operating profit grew 8% to $2.63 billion.</w:t>
      </w:r>
    </w:p>
    <w:p>
      <w:pPr>
        <w:pStyle w:val="Compact"/>
        <w:numPr>
          <w:ilvl w:val="0"/>
          <w:numId w:val="1001"/>
        </w:numPr>
      </w:pPr>
      <w:r>
        <w:t xml:space="preserve">Adjusted operating margin was 30.0%.</w:t>
      </w:r>
    </w:p>
    <w:p>
      <w:pPr>
        <w:pStyle w:val="Compact"/>
        <w:numPr>
          <w:ilvl w:val="0"/>
          <w:numId w:val="1001"/>
        </w:numPr>
      </w:pPr>
      <w:r>
        <w:t xml:space="preserve">Management raised the bottom of full-year EPS guidance by $0.20 but kept the top at $17.90.</w:t>
      </w:r>
    </w:p>
    <w:p>
      <w:pPr>
        <w:pStyle w:val="Compact"/>
        <w:numPr>
          <w:ilvl w:val="0"/>
          <w:numId w:val="1001"/>
        </w:numPr>
      </w:pPr>
      <w:r>
        <w:t xml:space="preserve">Importantly, the outlook assumed no economic improvement at its midpoint and included no incremental helium benefit. (</w:t>
      </w:r>
      <w:hyperlink r:id="rId12">
        <w:r>
          <w:rPr>
            <w:rStyle w:val="Hyperlink"/>
          </w:rPr>
          <w:t xml:space="preserve">linde.com</w:t>
        </w:r>
      </w:hyperlink>
      <w:r>
        <w:t xml:space="preserve">)</w:t>
      </w:r>
    </w:p>
    <w:p>
      <w:pPr>
        <w:pStyle w:val="FirstParagraph"/>
      </w:pPr>
      <w:r>
        <w:t xml:space="preserve">The stock closed at</w:t>
      </w:r>
      <w:r>
        <w:t xml:space="preserve"> </w:t>
      </w:r>
      <w:r>
        <w:rPr>
          <w:b/>
          <w:bCs/>
        </w:rPr>
        <w:t xml:space="preserve">$508.68 on July 30</w:t>
      </w:r>
      <w:r>
        <w:t xml:space="preserve">, approximately 19% above its first trading-day close of 2026. At that price, LIN trades around</w:t>
      </w:r>
      <w:r>
        <w:t xml:space="preserve"> </w:t>
      </w:r>
      <w:r>
        <w:rPr>
          <w:b/>
          <w:bCs/>
        </w:rPr>
        <w:t xml:space="preserve">28.4 times 2026 consensus EPS</w:t>
      </w:r>
      <w:r>
        <w:t xml:space="preserve"> </w:t>
      </w:r>
      <w:r>
        <w:t xml:space="preserve">and</w:t>
      </w:r>
      <w:r>
        <w:t xml:space="preserve"> </w:t>
      </w:r>
      <w:r>
        <w:rPr>
          <w:b/>
          <w:bCs/>
        </w:rPr>
        <w:t xml:space="preserve">25.9 times 2027 consensus EPS</w:t>
      </w:r>
      <w:r>
        <w:t xml:space="preserve">. That premium reflects the durability of Linde’s contracts, pricing discipline, margins and capital allocation—but it also raises the bar for guidance and forward commentary.</w:t>
      </w:r>
    </w:p>
    <w:bookmarkEnd w:id="13"/>
    <w:bookmarkStart w:id="20" w:name="what-matters-most"/>
    <w:p>
      <w:pPr>
        <w:pStyle w:val="Heading2"/>
      </w:pPr>
      <w:r>
        <w:t xml:space="preserve">What matters most</w:t>
      </w:r>
    </w:p>
    <w:bookmarkStart w:id="14" w:name="X998a7f9d80da098fdec9f7096d0bcfe0ad3b169"/>
    <w:p>
      <w:pPr>
        <w:pStyle w:val="Heading3"/>
      </w:pPr>
      <w:r>
        <w:t xml:space="preserve">1. Guidance is likely to matter more than the Q2 EPS result</w:t>
      </w:r>
    </w:p>
    <w:p>
      <w:pPr>
        <w:pStyle w:val="FirstParagraph"/>
      </w:pPr>
      <w:r>
        <w:t xml:space="preserve">Linde has a consistent history of controlling costs, pricing ahead of inflation and buying back shares, making small EPS beats relatively common. The more important question is whether management can move the full-year range above the current</w:t>
      </w:r>
      <w:r>
        <w:t xml:space="preserve"> </w:t>
      </w:r>
      <m:oMath>
        <m:r>
          <m:t>17.60</m:t>
        </m:r>
        <m:r>
          <m:rPr>
            <m:sty m:val="p"/>
          </m:rPr>
          <m:t>–</m:t>
        </m:r>
      </m:oMath>
      <w:r>
        <w:rPr>
          <w:b/>
          <w:bCs/>
        </w:rPr>
        <w:t xml:space="preserve">17.90</w:t>
      </w:r>
      <w:r>
        <w:t xml:space="preserve">.</w:t>
      </w:r>
    </w:p>
    <w:p>
      <w:pPr>
        <w:pStyle w:val="BodyText"/>
      </w:pPr>
      <w:r>
        <w:t xml:space="preserve">After earning</w:t>
      </w:r>
      <w:r>
        <w:t xml:space="preserve"> </w:t>
      </w:r>
      <m:oMath>
        <m:r>
          <m:t>4.33</m:t>
        </m:r>
        <m:r>
          <m:t>i</m:t>
        </m:r>
        <m:r>
          <m:t>n</m:t>
        </m:r>
        <m:r>
          <m:t>Q</m:t>
        </m:r>
        <m:r>
          <m:t>1</m:t>
        </m:r>
        <m:r>
          <m:rPr>
            <m:sty m:val="p"/>
          </m:rPr>
          <m:t>,</m:t>
        </m:r>
        <m:r>
          <m:t>t</m:t>
        </m:r>
        <m:r>
          <m:t>h</m:t>
        </m:r>
        <m:r>
          <m:t>e</m:t>
        </m:r>
        <m:r>
          <m:t>c</m:t>
        </m:r>
        <m:r>
          <m:t>o</m:t>
        </m:r>
        <m:r>
          <m:t>m</m:t>
        </m:r>
        <m:r>
          <m:t>p</m:t>
        </m:r>
        <m:r>
          <m:t>a</m:t>
        </m:r>
        <m:r>
          <m:t>n</m:t>
        </m:r>
        <m:r>
          <m:t>y</m:t>
        </m:r>
        <m:r>
          <m:t>w</m:t>
        </m:r>
        <m:r>
          <m:t>o</m:t>
        </m:r>
        <m:r>
          <m:t>u</m:t>
        </m:r>
        <m:r>
          <m:t>l</m:t>
        </m:r>
        <m:r>
          <m:t>d</m:t>
        </m:r>
        <m:r>
          <m:t>n</m:t>
        </m:r>
        <m:r>
          <m:t>e</m:t>
        </m:r>
        <m:r>
          <m:t>e</m:t>
        </m:r>
        <m:r>
          <m:t>d</m:t>
        </m:r>
        <m:r>
          <m:t>a</m:t>
        </m:r>
        <m:r>
          <m:t>n</m:t>
        </m:r>
        <m:r>
          <m:t>a</m:t>
        </m:r>
        <m:r>
          <m:t>v</m:t>
        </m:r>
        <m:r>
          <m:t>e</m:t>
        </m:r>
        <m:r>
          <m:t>r</m:t>
        </m:r>
        <m:r>
          <m:t>a</m:t>
        </m:r>
        <m:r>
          <m:t>g</m:t>
        </m:r>
        <m:r>
          <m:t>e</m:t>
        </m:r>
        <m:r>
          <m:t>o</m:t>
        </m:r>
        <m:r>
          <m:t>f</m:t>
        </m:r>
        <m:r>
          <m:t>r</m:t>
        </m:r>
        <m:r>
          <m:t>o</m:t>
        </m:r>
        <m:r>
          <m:t>u</m:t>
        </m:r>
        <m:r>
          <m:t>g</m:t>
        </m:r>
        <m:r>
          <m:t>h</m:t>
        </m:r>
        <m:r>
          <m:t>l</m:t>
        </m:r>
        <m:r>
          <m:t>y</m:t>
        </m:r>
        <m:r>
          <m:rPr>
            <m:sty m:val="p"/>
          </m:rPr>
          <m:t>*</m:t>
        </m:r>
        <m:r>
          <m:rPr>
            <m:sty m:val="p"/>
          </m:rPr>
          <m:t>*</m:t>
        </m:r>
      </m:oMath>
      <w:r>
        <w:t xml:space="preserve">4.52 per quarter over Q2–Q4** to reach current full-year consensus. That appears achievable, but consensus already assumes performance at the top of guidance.</w:t>
      </w:r>
    </w:p>
    <w:p>
      <w:pPr>
        <w:pStyle w:val="BodyText"/>
      </w:pPr>
      <w:r>
        <w:t xml:space="preserve">A constructive update could include:</w:t>
      </w:r>
    </w:p>
    <w:p>
      <w:pPr>
        <w:pStyle w:val="Compact"/>
        <w:numPr>
          <w:ilvl w:val="0"/>
          <w:numId w:val="1002"/>
        </w:numPr>
      </w:pPr>
      <w:r>
        <w:t xml:space="preserve">Raising the lower end above $17.60.</w:t>
      </w:r>
    </w:p>
    <w:p>
      <w:pPr>
        <w:pStyle w:val="Compact"/>
        <w:numPr>
          <w:ilvl w:val="0"/>
          <w:numId w:val="1002"/>
        </w:numPr>
      </w:pPr>
      <w:r>
        <w:t xml:space="preserve">Moving the upper end above $17.90.</w:t>
      </w:r>
    </w:p>
    <w:p>
      <w:pPr>
        <w:pStyle w:val="Compact"/>
        <w:numPr>
          <w:ilvl w:val="0"/>
          <w:numId w:val="1002"/>
        </w:numPr>
      </w:pPr>
      <w:r>
        <w:t xml:space="preserve">Increasing the assumed currency benefit.</w:t>
      </w:r>
    </w:p>
    <w:p>
      <w:pPr>
        <w:pStyle w:val="Compact"/>
        <w:numPr>
          <w:ilvl w:val="0"/>
          <w:numId w:val="1002"/>
        </w:numPr>
      </w:pPr>
      <w:r>
        <w:t xml:space="preserve">Explicitly incorporating helium upside.</w:t>
      </w:r>
    </w:p>
    <w:p>
      <w:pPr>
        <w:pStyle w:val="Compact"/>
        <w:numPr>
          <w:ilvl w:val="0"/>
          <w:numId w:val="1002"/>
        </w:numPr>
      </w:pPr>
      <w:r>
        <w:t xml:space="preserve">Signaling that underlying industrial trends have improved beyond the previous “no economic improvement” assumption.</w:t>
      </w:r>
    </w:p>
    <w:p>
      <w:pPr>
        <w:pStyle w:val="FirstParagraph"/>
      </w:pPr>
      <w:r>
        <w:t xml:space="preserve">A Q2 beat paired with unchanged guidance could be interpreted as conservatism, but at the current valuation it may not be enough by itself.</w:t>
      </w:r>
    </w:p>
    <w:bookmarkEnd w:id="14"/>
    <w:bookmarkStart w:id="15" w:name="Xe8f2cb04d1a17dcc286271fd413f557daa40d7d"/>
    <w:p>
      <w:pPr>
        <w:pStyle w:val="Heading3"/>
      </w:pPr>
      <w:r>
        <w:t xml:space="preserve">2. Americas strength versus continued EMEA weakness</w:t>
      </w:r>
    </w:p>
    <w:p>
      <w:pPr>
        <w:pStyle w:val="FirstParagraph"/>
      </w:pPr>
      <w:r>
        <w:t xml:space="preserve">The geographic split remains the central operating debate.</w:t>
      </w:r>
    </w:p>
    <w:p>
      <w:pPr>
        <w:pStyle w:val="BodyText"/>
      </w:pPr>
      <w:r>
        <w:t xml:space="preserve">In Q1, the</w:t>
      </w:r>
      <w:r>
        <w:t xml:space="preserve"> </w:t>
      </w:r>
      <w:r>
        <w:rPr>
          <w:b/>
          <w:bCs/>
        </w:rPr>
        <w:t xml:space="preserve">Americas</w:t>
      </w:r>
      <w:r>
        <w:t xml:space="preserve"> </w:t>
      </w:r>
      <w:r>
        <w:t xml:space="preserve">generated 6% underlying sales growth, including 2% volume growth, and expanded operating margin 60 basis points to 31.6%. Management described healthy U.S. packaged-gas demand, double-digit hardgoods growth, improving Gulf Coast refining activity, commercial-space demand and stronger metals production.</w:t>
      </w:r>
    </w:p>
    <w:p>
      <w:pPr>
        <w:pStyle w:val="BodyText"/>
      </w:pPr>
      <w:r>
        <w:t xml:space="preserve">By contrast,</w:t>
      </w:r>
      <w:r>
        <w:t xml:space="preserve"> </w:t>
      </w:r>
      <w:r>
        <w:rPr>
          <w:b/>
          <w:bCs/>
        </w:rPr>
        <w:t xml:space="preserve">EMEA</w:t>
      </w:r>
      <w:r>
        <w:t xml:space="preserve"> </w:t>
      </w:r>
      <w:r>
        <w:t xml:space="preserve">underlying sales fell 2%, with volumes down 3% in chemicals and energy and manufacturing. Currency made reported results look materially stronger than the underlying business.</w:t>
      </w:r>
    </w:p>
    <w:p>
      <w:pPr>
        <w:pStyle w:val="BodyText"/>
      </w:pPr>
      <w:r>
        <w:t xml:space="preserve">For Q2, investors should examine:</w:t>
      </w:r>
    </w:p>
    <w:p>
      <w:pPr>
        <w:pStyle w:val="Compact"/>
        <w:numPr>
          <w:ilvl w:val="0"/>
          <w:numId w:val="1003"/>
        </w:numPr>
      </w:pPr>
      <w:r>
        <w:t xml:space="preserve">Whether Americas volume growth accelerated beyond Q1’s 2%.</w:t>
      </w:r>
    </w:p>
    <w:p>
      <w:pPr>
        <w:pStyle w:val="Compact"/>
        <w:numPr>
          <w:ilvl w:val="0"/>
          <w:numId w:val="1003"/>
        </w:numPr>
      </w:pPr>
      <w:r>
        <w:t xml:space="preserve">Continued strength in packaged gases, hardgoods, aerospace and refining.</w:t>
      </w:r>
    </w:p>
    <w:p>
      <w:pPr>
        <w:pStyle w:val="Compact"/>
        <w:numPr>
          <w:ilvl w:val="0"/>
          <w:numId w:val="1003"/>
        </w:numPr>
      </w:pPr>
      <w:r>
        <w:t xml:space="preserve">Whether EMEA volume declines moderated from 3%.</w:t>
      </w:r>
    </w:p>
    <w:p>
      <w:pPr>
        <w:pStyle w:val="Compact"/>
        <w:numPr>
          <w:ilvl w:val="0"/>
          <w:numId w:val="1003"/>
        </w:numPr>
      </w:pPr>
      <w:r>
        <w:t xml:space="preserve">Whether higher European energy costs are being recovered through surcharges and price.</w:t>
      </w:r>
    </w:p>
    <w:p>
      <w:pPr>
        <w:pStyle w:val="Compact"/>
        <w:numPr>
          <w:ilvl w:val="0"/>
          <w:numId w:val="1003"/>
        </w:numPr>
      </w:pPr>
      <w:r>
        <w:t xml:space="preserve">Any further relocation of chemicals production from Europe toward the Americas or APAC.</w:t>
      </w:r>
    </w:p>
    <w:p>
      <w:pPr>
        <w:pStyle w:val="FirstParagraph"/>
      </w:pPr>
      <w:r>
        <w:t xml:space="preserve">Linde does not need a broad industrial recovery to grow earnings, but evidence that the Americas alone cannot offset EMEA would weaken the case for a second-half guidance increase.</w:t>
      </w:r>
    </w:p>
    <w:bookmarkEnd w:id="15"/>
    <w:bookmarkStart w:id="16" w:name="X5fef767bdcf7afaae78ae5168c1ec9ea355b2be"/>
    <w:p>
      <w:pPr>
        <w:pStyle w:val="Heading3"/>
      </w:pPr>
      <w:r>
        <w:t xml:space="preserve">3. Margin expansion must begin to show up</w:t>
      </w:r>
    </w:p>
    <w:p>
      <w:pPr>
        <w:pStyle w:val="FirstParagraph"/>
      </w:pPr>
      <w:r>
        <w:t xml:space="preserve">Q1 adjusted margin of 30.0% was down 10 basis points year over year, although management said it remained confident that full-year margins would expand at the high end—or potentially above—its customary 40–60 basis-point range.</w:t>
      </w:r>
    </w:p>
    <w:p>
      <w:pPr>
        <w:pStyle w:val="BodyText"/>
      </w:pPr>
      <w:r>
        <w:t xml:space="preserve">Q2’s comparison is more demanding because adjusted margin was already</w:t>
      </w:r>
      <w:r>
        <w:t xml:space="preserve"> </w:t>
      </w:r>
      <w:r>
        <w:rPr>
          <w:b/>
          <w:bCs/>
        </w:rPr>
        <w:t xml:space="preserve">30.1% in Q2 2025</w:t>
      </w:r>
      <w:r>
        <w:t xml:space="preserve">. Investors should focus on operating-profit dollars as well as the reported margin, since contractual energy pass-through can distort the percentage.</w:t>
      </w:r>
    </w:p>
    <w:p>
      <w:pPr>
        <w:pStyle w:val="BodyText"/>
      </w:pPr>
      <w:r>
        <w:t xml:space="preserve">The strongest margin signals would be:</w:t>
      </w:r>
    </w:p>
    <w:p>
      <w:pPr>
        <w:pStyle w:val="Compact"/>
        <w:numPr>
          <w:ilvl w:val="0"/>
          <w:numId w:val="1004"/>
        </w:numPr>
      </w:pPr>
      <w:r>
        <w:t xml:space="preserve">Americas holding above 31%.</w:t>
      </w:r>
    </w:p>
    <w:p>
      <w:pPr>
        <w:pStyle w:val="Compact"/>
        <w:numPr>
          <w:ilvl w:val="0"/>
          <w:numId w:val="1004"/>
        </w:numPr>
      </w:pPr>
      <w:r>
        <w:t xml:space="preserve">APAC recovering toward the roughly 29% level management discussed.</w:t>
      </w:r>
    </w:p>
    <w:p>
      <w:pPr>
        <w:pStyle w:val="Compact"/>
        <w:numPr>
          <w:ilvl w:val="0"/>
          <w:numId w:val="1004"/>
        </w:numPr>
      </w:pPr>
      <w:r>
        <w:t xml:space="preserve">EMEA maintaining its unusually high mid-30% margin despite weak volumes.</w:t>
      </w:r>
    </w:p>
    <w:p>
      <w:pPr>
        <w:pStyle w:val="Compact"/>
        <w:numPr>
          <w:ilvl w:val="0"/>
          <w:numId w:val="1004"/>
        </w:numPr>
      </w:pPr>
      <w:r>
        <w:t xml:space="preserve">Productivity and pricing continuing to exceed cost inflation.</w:t>
      </w:r>
    </w:p>
    <w:p>
      <w:pPr>
        <w:pStyle w:val="Compact"/>
        <w:numPr>
          <w:ilvl w:val="0"/>
          <w:numId w:val="1004"/>
        </w:numPr>
      </w:pPr>
      <w:r>
        <w:t xml:space="preserve">No material drag from lower-margin equipment sales.</w:t>
      </w:r>
    </w:p>
    <w:p>
      <w:pPr>
        <w:pStyle w:val="FirstParagraph"/>
      </w:pPr>
      <w:r>
        <w:t xml:space="preserve">A consolidated margin around or above the prior-year level, combined with healthy operating-profit growth, should be sufficient. A meaningful decline would place more pressure on second-half execution.</w:t>
      </w:r>
    </w:p>
    <w:bookmarkEnd w:id="16"/>
    <w:bookmarkStart w:id="17" w:name="X357f2475013ba879da1afeba5330f1fb9d09c12"/>
    <w:p>
      <w:pPr>
        <w:pStyle w:val="Heading3"/>
      </w:pPr>
      <w:r>
        <w:t xml:space="preserve">4. Helium is the clearest source of unmodeled upside</w:t>
      </w:r>
    </w:p>
    <w:p>
      <w:pPr>
        <w:pStyle w:val="FirstParagraph"/>
      </w:pPr>
      <w:r>
        <w:t xml:space="preserve">Management said the global helium market moved from oversupply through 2025 to acute shortages in 2026. Linde’s broad sourcing position allowed it to meet existing commitments and pursue additional multiyear contracts.</w:t>
      </w:r>
    </w:p>
    <w:p>
      <w:pPr>
        <w:pStyle w:val="BodyText"/>
      </w:pPr>
      <w:r>
        <w:t xml:space="preserve">At the Q1 call, management emphasized that:</w:t>
      </w:r>
    </w:p>
    <w:p>
      <w:pPr>
        <w:pStyle w:val="Compact"/>
        <w:numPr>
          <w:ilvl w:val="0"/>
          <w:numId w:val="1005"/>
        </w:numPr>
      </w:pPr>
      <w:r>
        <w:t xml:space="preserve">Approximately 85%–90% of helium customer sales were contracted.</w:t>
      </w:r>
    </w:p>
    <w:p>
      <w:pPr>
        <w:pStyle w:val="Compact"/>
        <w:numPr>
          <w:ilvl w:val="0"/>
          <w:numId w:val="1005"/>
        </w:numPr>
      </w:pPr>
      <w:r>
        <w:t xml:space="preserve">Pricing had started to improve following supply disruptions.</w:t>
      </w:r>
    </w:p>
    <w:p>
      <w:pPr>
        <w:pStyle w:val="Compact"/>
        <w:numPr>
          <w:ilvl w:val="0"/>
          <w:numId w:val="1005"/>
        </w:numPr>
      </w:pPr>
      <w:r>
        <w:t xml:space="preserve">Linde had already secured some new long-term agreements.</w:t>
      </w:r>
    </w:p>
    <w:p>
      <w:pPr>
        <w:pStyle w:val="Compact"/>
        <w:numPr>
          <w:ilvl w:val="0"/>
          <w:numId w:val="1005"/>
        </w:numPr>
      </w:pPr>
      <w:r>
        <w:t xml:space="preserve">Neither incremental volume nor pricing was included in guidance.</w:t>
      </w:r>
    </w:p>
    <w:p>
      <w:pPr>
        <w:pStyle w:val="FirstParagraph"/>
      </w:pPr>
      <w:r>
        <w:t xml:space="preserve">The Q2 call should provide the first meaningful evidence of whether this opportunity has become financially material. Key questions include:</w:t>
      </w:r>
    </w:p>
    <w:p>
      <w:pPr>
        <w:pStyle w:val="Compact"/>
        <w:numPr>
          <w:ilvl w:val="0"/>
          <w:numId w:val="1006"/>
        </w:numPr>
      </w:pPr>
      <w:r>
        <w:t xml:space="preserve">How quickly higher pricing is entering contract renewals.</w:t>
      </w:r>
    </w:p>
    <w:p>
      <w:pPr>
        <w:pStyle w:val="Compact"/>
        <w:numPr>
          <w:ilvl w:val="0"/>
          <w:numId w:val="1006"/>
        </w:numPr>
      </w:pPr>
      <w:r>
        <w:t xml:space="preserve">How much excess supply Linde can commit to new customers.</w:t>
      </w:r>
    </w:p>
    <w:p>
      <w:pPr>
        <w:pStyle w:val="Compact"/>
        <w:numPr>
          <w:ilvl w:val="0"/>
          <w:numId w:val="1006"/>
        </w:numPr>
      </w:pPr>
      <w:r>
        <w:t xml:space="preserve">Whether supply disruptions are temporary or multiyear.</w:t>
      </w:r>
    </w:p>
    <w:p>
      <w:pPr>
        <w:pStyle w:val="Compact"/>
        <w:numPr>
          <w:ilvl w:val="0"/>
          <w:numId w:val="1006"/>
        </w:numPr>
      </w:pPr>
      <w:r>
        <w:t xml:space="preserve">Whether helium moves from an earnings drag to an earnings contributor during the second half.</w:t>
      </w:r>
    </w:p>
    <w:p>
      <w:pPr>
        <w:pStyle w:val="FirstParagraph"/>
      </w:pPr>
      <w:r>
        <w:t xml:space="preserve">Helium upside accompanied by long-duration contracts would be higher quality than temporary spot-market gains.</w:t>
      </w:r>
    </w:p>
    <w:bookmarkEnd w:id="17"/>
    <w:bookmarkStart w:id="18" w:name="X74dbd902037d02d79419a867c7069a8579c6c33"/>
    <w:p>
      <w:pPr>
        <w:pStyle w:val="Heading3"/>
      </w:pPr>
      <w:r>
        <w:t xml:space="preserve">5. Backlog growth may be more important than current revenue</w:t>
      </w:r>
    </w:p>
    <w:p>
      <w:pPr>
        <w:pStyle w:val="FirstParagraph"/>
      </w:pPr>
      <w:r>
        <w:t xml:space="preserve">Linde began Q2 with a</w:t>
      </w:r>
      <w:r>
        <w:t xml:space="preserve"> </w:t>
      </w:r>
      <w:r>
        <w:rPr>
          <w:b/>
          <w:bCs/>
        </w:rPr>
        <w:t xml:space="preserve">$7.1 billion contractual sale-of-gas backlog</w:t>
      </w:r>
      <w:r>
        <w:t xml:space="preserve">. Management expressed high confidence in winning substantial electronics projects and said backlog could potentially have an “8-handle” by year-end.</w:t>
      </w:r>
    </w:p>
    <w:p>
      <w:pPr>
        <w:pStyle w:val="BodyText"/>
      </w:pPr>
      <w:r>
        <w:t xml:space="preserve">Investors should look for:</w:t>
      </w:r>
    </w:p>
    <w:p>
      <w:pPr>
        <w:pStyle w:val="Compact"/>
        <w:numPr>
          <w:ilvl w:val="0"/>
          <w:numId w:val="1007"/>
        </w:numPr>
      </w:pPr>
      <w:r>
        <w:t xml:space="preserve">New semiconductor and AI-related electronics projects.</w:t>
      </w:r>
    </w:p>
    <w:p>
      <w:pPr>
        <w:pStyle w:val="Compact"/>
        <w:numPr>
          <w:ilvl w:val="0"/>
          <w:numId w:val="1007"/>
        </w:numPr>
      </w:pPr>
      <w:r>
        <w:t xml:space="preserve">Backlog growth after accounting for project start-ups.</w:t>
      </w:r>
    </w:p>
    <w:p>
      <w:pPr>
        <w:pStyle w:val="Compact"/>
        <w:numPr>
          <w:ilvl w:val="0"/>
          <w:numId w:val="1007"/>
        </w:numPr>
      </w:pPr>
      <w:r>
        <w:t xml:space="preserve">Project returns and customer credit quality.</w:t>
      </w:r>
    </w:p>
    <w:p>
      <w:pPr>
        <w:pStyle w:val="Compact"/>
        <w:numPr>
          <w:ilvl w:val="0"/>
          <w:numId w:val="1007"/>
        </w:numPr>
      </w:pPr>
      <w:r>
        <w:t xml:space="preserve">Continued commercial-space infrastructure opportunities.</w:t>
      </w:r>
    </w:p>
    <w:p>
      <w:pPr>
        <w:pStyle w:val="Compact"/>
        <w:numPr>
          <w:ilvl w:val="0"/>
          <w:numId w:val="1007"/>
        </w:numPr>
      </w:pPr>
      <w:r>
        <w:t xml:space="preserve">Progress on clean-energy projects without a relaxation of return requirements.</w:t>
      </w:r>
    </w:p>
    <w:p>
      <w:pPr>
        <w:pStyle w:val="FirstParagraph"/>
      </w:pPr>
      <w:r>
        <w:t xml:space="preserve">A backlog moving materially above $7.1 billion would support the long-term growth thesis even if near-term industrial volumes remain subdued.</w:t>
      </w:r>
    </w:p>
    <w:p>
      <w:pPr>
        <w:pStyle w:val="BodyText"/>
      </w:pPr>
      <w:r>
        <w:t xml:space="preserve">One project-specific issue is the Woodside-related U.S. Gulf Coast project. Management expected part of the nitrogen system to start during Q2, but the hydrogen and sequestration components had slipped into Q1 2027 because of construction and subcontractor constraints. Investors should watch for evidence of additional delays or cost pressure.</w:t>
      </w:r>
    </w:p>
    <w:bookmarkEnd w:id="18"/>
    <w:bookmarkStart w:id="19" w:name="X7e705dc3386d62e2d5d94fa4a5b20380f260ef8"/>
    <w:p>
      <w:pPr>
        <w:pStyle w:val="Heading3"/>
      </w:pPr>
      <w:r>
        <w:t xml:space="preserve">6. Cash flow and capital allocation</w:t>
      </w:r>
    </w:p>
    <w:p>
      <w:pPr>
        <w:pStyle w:val="FirstParagraph"/>
      </w:pPr>
      <w:r>
        <w:t xml:space="preserve">Q1 operating cash flow was $2.24 billion and free cash flow was $898 million after $1.34 billion of capital expenditures. The first half is seasonally weaker because of taxes, interest and incentive-payment timing.</w:t>
      </w:r>
    </w:p>
    <w:p>
      <w:pPr>
        <w:pStyle w:val="BodyText"/>
      </w:pPr>
      <w:r>
        <w:t xml:space="preserve">Linde still returned approximately $1.55 billion through dividends and net share repurchases during Q1. The diluted share count was about 2% below the prior year, providing a dependable contribution to EPS growth.</w:t>
      </w:r>
    </w:p>
    <w:p>
      <w:pPr>
        <w:pStyle w:val="BodyText"/>
      </w:pPr>
      <w:r>
        <w:t xml:space="preserve">For Q2, watch:</w:t>
      </w:r>
    </w:p>
    <w:p>
      <w:pPr>
        <w:pStyle w:val="Compact"/>
        <w:numPr>
          <w:ilvl w:val="0"/>
          <w:numId w:val="1008"/>
        </w:numPr>
      </w:pPr>
      <w:r>
        <w:t xml:space="preserve">Operating cash flow versus last year’s $2.21 billion.</w:t>
      </w:r>
    </w:p>
    <w:p>
      <w:pPr>
        <w:pStyle w:val="Compact"/>
        <w:numPr>
          <w:ilvl w:val="0"/>
          <w:numId w:val="1008"/>
        </w:numPr>
      </w:pPr>
      <w:r>
        <w:t xml:space="preserve">Whether free cash flow improves despite elevated backlog investment.</w:t>
      </w:r>
    </w:p>
    <w:p>
      <w:pPr>
        <w:pStyle w:val="Compact"/>
        <w:numPr>
          <w:ilvl w:val="0"/>
          <w:numId w:val="1008"/>
        </w:numPr>
      </w:pPr>
      <w:r>
        <w:t xml:space="preserve">Any change to the</w:t>
      </w:r>
      <w:r>
        <w:t xml:space="preserve"> </w:t>
      </w:r>
      <m:oMath>
        <m:r>
          <m:t>5.0</m:t>
        </m:r>
        <m:r>
          <m:rPr>
            <m:sty m:val="p"/>
          </m:rPr>
          <m:t>–</m:t>
        </m:r>
      </m:oMath>
      <w:r>
        <w:t xml:space="preserve">5.5 billion capital-spending plan.</w:t>
      </w:r>
    </w:p>
    <w:p>
      <w:pPr>
        <w:pStyle w:val="Compact"/>
        <w:numPr>
          <w:ilvl w:val="0"/>
          <w:numId w:val="1008"/>
        </w:numPr>
      </w:pPr>
      <w:r>
        <w:t xml:space="preserve">Repurchase pace following the stock’s year-to-date appreciation.</w:t>
      </w:r>
    </w:p>
    <w:p>
      <w:pPr>
        <w:pStyle w:val="Compact"/>
        <w:numPr>
          <w:ilvl w:val="0"/>
          <w:numId w:val="1008"/>
        </w:numPr>
      </w:pPr>
      <w:r>
        <w:t xml:space="preserve">Net debt, which increased materially during 2025 and stood around $22.4 billion after Q1.</w:t>
      </w:r>
    </w:p>
    <w:p>
      <w:pPr>
        <w:pStyle w:val="FirstParagraph"/>
      </w:pPr>
      <w:r>
        <w:t xml:space="preserve">Elevated capital spending is not inherently negative given the contracted backlog. The concern would be rising spending without corresponding start-ups, backlog additions or returns.</w:t>
      </w:r>
    </w:p>
    <w:bookmarkEnd w:id="19"/>
    <w:bookmarkEnd w:id="20"/>
    <w:bookmarkStart w:id="21" w:name="segment-scorecard"/>
    <w:p>
      <w:pPr>
        <w:pStyle w:val="Heading2"/>
      </w:pPr>
      <w:r>
        <w:t xml:space="preserve">Segment scorecard</w:t>
      </w:r>
    </w:p>
    <w:tbl>
      <w:tblPr>
        <w:tblStyle w:val="Table"/>
        <w:tblW w:type="auto" w:w="0"/>
        <w:tblLook w:firstRow="1" w:lastRow="0" w:firstColumn="0" w:lastColumn="0" w:noHBand="0" w:noVBand="0" w:val="0020"/>
      </w:tblPr>
      <w:tblGrid>
        <w:gridCol w:w="3960"/>
        <w:gridCol w:w="3960"/>
      </w:tblGrid>
      <w:tr>
        <w:trPr>
          <w:tblHeader w:val="on"/>
        </w:trPr>
        <w:tc>
          <w:tcPr/>
          <w:p>
            <w:pPr>
              <w:pStyle w:val="Compact"/>
            </w:pPr>
            <w:r>
              <w:t xml:space="preserve">Segment</w:t>
            </w:r>
          </w:p>
        </w:tc>
        <w:tc>
          <w:tcPr/>
          <w:p>
            <w:pPr>
              <w:pStyle w:val="Compact"/>
            </w:pPr>
            <w:r>
              <w:t xml:space="preserve">What investors want to see</w:t>
            </w:r>
          </w:p>
        </w:tc>
      </w:tr>
      <w:tr>
        <w:tc>
          <w:tcPr/>
          <w:p>
            <w:pPr>
              <w:pStyle w:val="Compact"/>
            </w:pPr>
            <w:r>
              <w:rPr>
                <w:b/>
                <w:bCs/>
              </w:rPr>
              <w:t xml:space="preserve">Americas</w:t>
            </w:r>
          </w:p>
        </w:tc>
        <w:tc>
          <w:tcPr/>
          <w:p>
            <w:pPr>
              <w:pStyle w:val="Compact"/>
            </w:pPr>
            <w:r>
              <w:t xml:space="preserve">At least low-single-digit volume growth; continued packaged-gas, refining, metals, electronics and space strength; margin above 31%</w:t>
            </w:r>
          </w:p>
        </w:tc>
      </w:tr>
      <w:tr>
        <w:tc>
          <w:tcPr/>
          <w:p>
            <w:pPr>
              <w:pStyle w:val="Compact"/>
            </w:pPr>
            <w:r>
              <w:rPr>
                <w:b/>
                <w:bCs/>
              </w:rPr>
              <w:t xml:space="preserve">EMEA</w:t>
            </w:r>
          </w:p>
        </w:tc>
        <w:tc>
          <w:tcPr/>
          <w:p>
            <w:pPr>
              <w:pStyle w:val="Compact"/>
            </w:pPr>
            <w:r>
              <w:t xml:space="preserve">Volume declines moderating; pricing and productivity offsetting inflation; no material margin deterioration</w:t>
            </w:r>
          </w:p>
        </w:tc>
      </w:tr>
      <w:tr>
        <w:tc>
          <w:tcPr/>
          <w:p>
            <w:pPr>
              <w:pStyle w:val="Compact"/>
            </w:pPr>
            <w:r>
              <w:rPr>
                <w:b/>
                <w:bCs/>
              </w:rPr>
              <w:t xml:space="preserve">APAC</w:t>
            </w:r>
          </w:p>
        </w:tc>
        <w:tc>
          <w:tcPr/>
          <w:p>
            <w:pPr>
              <w:pStyle w:val="Compact"/>
            </w:pPr>
            <w:r>
              <w:t xml:space="preserve">Healthy electronics and project-start-up growth; margin recovering from Q1’s 28.0%</w:t>
            </w:r>
          </w:p>
        </w:tc>
      </w:tr>
      <w:tr>
        <w:tc>
          <w:tcPr/>
          <w:p>
            <w:pPr>
              <w:pStyle w:val="Compact"/>
            </w:pPr>
            <w:r>
              <w:rPr>
                <w:b/>
                <w:bCs/>
              </w:rPr>
              <w:t xml:space="preserve">Engineering</w:t>
            </w:r>
          </w:p>
        </w:tc>
        <w:tc>
          <w:tcPr/>
          <w:p>
            <w:pPr>
              <w:pStyle w:val="Compact"/>
            </w:pPr>
            <w:r>
              <w:t xml:space="preserve">Better execution after Q1 sales fell 8%; stable third-party equipment backlog and no project-cost issues</w:t>
            </w:r>
          </w:p>
        </w:tc>
      </w:tr>
      <w:tr>
        <w:tc>
          <w:tcPr/>
          <w:p>
            <w:pPr>
              <w:pStyle w:val="Compact"/>
            </w:pPr>
            <w:r>
              <w:rPr>
                <w:b/>
                <w:bCs/>
              </w:rPr>
              <w:t xml:space="preserve">Other/Helium</w:t>
            </w:r>
          </w:p>
        </w:tc>
        <w:tc>
          <w:tcPr/>
          <w:p>
            <w:pPr>
              <w:pStyle w:val="Compact"/>
            </w:pPr>
            <w:r>
              <w:t xml:space="preserve">Clear sequential improvement in helium pricing and contracted volumes</w:t>
            </w:r>
          </w:p>
        </w:tc>
      </w:tr>
    </w:tbl>
    <w:bookmarkEnd w:id="21"/>
    <w:bookmarkStart w:id="25" w:name="potential-earnings-reactions"/>
    <w:p>
      <w:pPr>
        <w:pStyle w:val="Heading2"/>
      </w:pPr>
      <w:r>
        <w:t xml:space="preserve">Potential earnings reactions</w:t>
      </w:r>
    </w:p>
    <w:bookmarkStart w:id="22" w:name="bull-case"/>
    <w:p>
      <w:pPr>
        <w:pStyle w:val="Heading3"/>
      </w:pPr>
      <w:r>
        <w:t xml:space="preserve">Bull case</w:t>
      </w:r>
    </w:p>
    <w:p>
      <w:pPr>
        <w:pStyle w:val="Compact"/>
        <w:numPr>
          <w:ilvl w:val="0"/>
          <w:numId w:val="1009"/>
        </w:numPr>
      </w:pPr>
      <w:r>
        <w:t xml:space="preserve">Adjusted EPS above $4.50.</w:t>
      </w:r>
    </w:p>
    <w:p>
      <w:pPr>
        <w:pStyle w:val="Compact"/>
        <w:numPr>
          <w:ilvl w:val="0"/>
          <w:numId w:val="1009"/>
        </w:numPr>
      </w:pPr>
      <w:r>
        <w:t xml:space="preserve">Underlying sales growth of roughly 3% or better.</w:t>
      </w:r>
    </w:p>
    <w:p>
      <w:pPr>
        <w:pStyle w:val="Compact"/>
        <w:numPr>
          <w:ilvl w:val="0"/>
          <w:numId w:val="1009"/>
        </w:numPr>
      </w:pPr>
      <w:r>
        <w:t xml:space="preserve">Stable-to-higher adjusted margin.</w:t>
      </w:r>
    </w:p>
    <w:p>
      <w:pPr>
        <w:pStyle w:val="Compact"/>
        <w:numPr>
          <w:ilvl w:val="0"/>
          <w:numId w:val="1009"/>
        </w:numPr>
      </w:pPr>
      <w:r>
        <w:t xml:space="preserve">Full-year EPS guidance raised above $17.90.</w:t>
      </w:r>
    </w:p>
    <w:p>
      <w:pPr>
        <w:pStyle w:val="Compact"/>
        <w:numPr>
          <w:ilvl w:val="0"/>
          <w:numId w:val="1009"/>
        </w:numPr>
      </w:pPr>
      <w:r>
        <w:t xml:space="preserve">Meaningful helium benefit incorporated into the outlook.</w:t>
      </w:r>
    </w:p>
    <w:p>
      <w:pPr>
        <w:pStyle w:val="Compact"/>
        <w:numPr>
          <w:ilvl w:val="0"/>
          <w:numId w:val="1009"/>
        </w:numPr>
      </w:pPr>
      <w:r>
        <w:t xml:space="preserve">Large electronics wins push backlog above $7.1 billion.</w:t>
      </w:r>
    </w:p>
    <w:p>
      <w:pPr>
        <w:pStyle w:val="Compact"/>
        <w:numPr>
          <w:ilvl w:val="0"/>
          <w:numId w:val="1009"/>
        </w:numPr>
      </w:pPr>
      <w:r>
        <w:t xml:space="preserve">No additional project delays.</w:t>
      </w:r>
    </w:p>
    <w:p>
      <w:pPr>
        <w:pStyle w:val="FirstParagraph"/>
      </w:pPr>
      <w:r>
        <w:t xml:space="preserve">This would reinforce the view that Linde can return to double-digit EPS growth without requiring a synchronized global industrial recovery.</w:t>
      </w:r>
    </w:p>
    <w:bookmarkEnd w:id="22"/>
    <w:bookmarkStart w:id="23" w:name="base-case"/>
    <w:p>
      <w:pPr>
        <w:pStyle w:val="Heading3"/>
      </w:pPr>
      <w:r>
        <w:t xml:space="preserve">Base case</w:t>
      </w:r>
    </w:p>
    <w:p>
      <w:pPr>
        <w:pStyle w:val="Compact"/>
        <w:numPr>
          <w:ilvl w:val="0"/>
          <w:numId w:val="1010"/>
        </w:numPr>
      </w:pPr>
      <w:r>
        <w:t xml:space="preserve">EPS of</w:t>
      </w:r>
      <w:r>
        <w:t xml:space="preserve"> </w:t>
      </w:r>
      <m:oMath>
        <m:r>
          <m:t>4.45</m:t>
        </m:r>
        <m:r>
          <m:rPr>
            <m:sty m:val="p"/>
          </m:rPr>
          <m:t>–</m:t>
        </m:r>
      </m:oMath>
      <w:r>
        <w:t xml:space="preserve">4.50.</w:t>
      </w:r>
    </w:p>
    <w:p>
      <w:pPr>
        <w:pStyle w:val="Compact"/>
        <w:numPr>
          <w:ilvl w:val="0"/>
          <w:numId w:val="1010"/>
        </w:numPr>
      </w:pPr>
      <w:r>
        <w:t xml:space="preserve">Revenue around $9.0 billion.</w:t>
      </w:r>
    </w:p>
    <w:p>
      <w:pPr>
        <w:pStyle w:val="Compact"/>
        <w:numPr>
          <w:ilvl w:val="0"/>
          <w:numId w:val="1010"/>
        </w:numPr>
      </w:pPr>
      <w:r>
        <w:t xml:space="preserve">Low-single-digit underlying growth.</w:t>
      </w:r>
    </w:p>
    <w:p>
      <w:pPr>
        <w:pStyle w:val="Compact"/>
        <w:numPr>
          <w:ilvl w:val="0"/>
          <w:numId w:val="1010"/>
        </w:numPr>
      </w:pPr>
      <w:r>
        <w:t xml:space="preserve">Margin near 30%.</w:t>
      </w:r>
    </w:p>
    <w:p>
      <w:pPr>
        <w:pStyle w:val="Compact"/>
        <w:numPr>
          <w:ilvl w:val="0"/>
          <w:numId w:val="1010"/>
        </w:numPr>
      </w:pPr>
      <w:r>
        <w:t xml:space="preserve">Guidance maintained or narrowed toward the upper half.</w:t>
      </w:r>
    </w:p>
    <w:p>
      <w:pPr>
        <w:pStyle w:val="Compact"/>
        <w:numPr>
          <w:ilvl w:val="0"/>
          <w:numId w:val="1010"/>
        </w:numPr>
      </w:pPr>
      <w:r>
        <w:t xml:space="preserve">Americas and electronics remain strong while EMEA stays weak.</w:t>
      </w:r>
    </w:p>
    <w:p>
      <w:pPr>
        <w:pStyle w:val="Compact"/>
        <w:numPr>
          <w:ilvl w:val="0"/>
          <w:numId w:val="1010"/>
        </w:numPr>
      </w:pPr>
      <w:r>
        <w:t xml:space="preserve">Backlog broadly stable.</w:t>
      </w:r>
    </w:p>
    <w:p>
      <w:pPr>
        <w:pStyle w:val="FirstParagraph"/>
      </w:pPr>
      <w:r>
        <w:t xml:space="preserve">Operationally, this would be a solid report. The market response may nevertheless be restrained because consensus and valuation already discount execution near the top of management’s range.</w:t>
      </w:r>
    </w:p>
    <w:bookmarkEnd w:id="23"/>
    <w:bookmarkStart w:id="24" w:name="bear-case"/>
    <w:p>
      <w:pPr>
        <w:pStyle w:val="Heading3"/>
      </w:pPr>
      <w:r>
        <w:t xml:space="preserve">Bear case</w:t>
      </w:r>
    </w:p>
    <w:p>
      <w:pPr>
        <w:pStyle w:val="Compact"/>
        <w:numPr>
          <w:ilvl w:val="0"/>
          <w:numId w:val="1011"/>
        </w:numPr>
      </w:pPr>
      <w:r>
        <w:t xml:space="preserve">EPS below $4.40.</w:t>
      </w:r>
    </w:p>
    <w:p>
      <w:pPr>
        <w:pStyle w:val="Compact"/>
        <w:numPr>
          <w:ilvl w:val="0"/>
          <w:numId w:val="1011"/>
        </w:numPr>
      </w:pPr>
      <w:r>
        <w:t xml:space="preserve">Base volumes weaken or turn negative.</w:t>
      </w:r>
    </w:p>
    <w:p>
      <w:pPr>
        <w:pStyle w:val="Compact"/>
        <w:numPr>
          <w:ilvl w:val="0"/>
          <w:numId w:val="1011"/>
        </w:numPr>
      </w:pPr>
      <w:r>
        <w:t xml:space="preserve">EMEA declines deepen while Americas momentum slows.</w:t>
      </w:r>
    </w:p>
    <w:p>
      <w:pPr>
        <w:pStyle w:val="Compact"/>
        <w:numPr>
          <w:ilvl w:val="0"/>
          <w:numId w:val="1011"/>
        </w:numPr>
      </w:pPr>
      <w:r>
        <w:t xml:space="preserve">APAC margins fail to recover.</w:t>
      </w:r>
    </w:p>
    <w:p>
      <w:pPr>
        <w:pStyle w:val="Compact"/>
        <w:numPr>
          <w:ilvl w:val="0"/>
          <w:numId w:val="1011"/>
        </w:numPr>
      </w:pPr>
      <w:r>
        <w:t xml:space="preserve">Helium remains an earnings drag.</w:t>
      </w:r>
    </w:p>
    <w:p>
      <w:pPr>
        <w:pStyle w:val="Compact"/>
        <w:numPr>
          <w:ilvl w:val="0"/>
          <w:numId w:val="1011"/>
        </w:numPr>
      </w:pPr>
      <w:r>
        <w:t xml:space="preserve">Guidance is maintained despite a weak quarter—or reduced.</w:t>
      </w:r>
    </w:p>
    <w:p>
      <w:pPr>
        <w:pStyle w:val="Compact"/>
        <w:numPr>
          <w:ilvl w:val="0"/>
          <w:numId w:val="1011"/>
        </w:numPr>
      </w:pPr>
      <w:r>
        <w:t xml:space="preserve">Further delays emerge in major backlog projects.</w:t>
      </w:r>
    </w:p>
    <w:p>
      <w:pPr>
        <w:pStyle w:val="FirstParagraph"/>
      </w:pPr>
      <w:r>
        <w:t xml:space="preserve">The combination of weaker organic trends and no guidance cushion would be particularly problematic at nearly 28 times current-year earnings.</w:t>
      </w:r>
    </w:p>
    <w:bookmarkEnd w:id="24"/>
    <w:bookmarkEnd w:id="25"/>
    <w:bookmarkStart w:id="26" w:name="bottom-line"/>
    <w:p>
      <w:pPr>
        <w:pStyle w:val="Heading2"/>
      </w:pPr>
      <w:r>
        <w:t xml:space="preserve">Bottom line</w:t>
      </w:r>
    </w:p>
    <w:p>
      <w:pPr>
        <w:pStyle w:val="FirstParagraph"/>
      </w:pPr>
      <w:r>
        <w:t xml:space="preserve">Linde’s Q2 report is less about proving the durability of the business—that is already well established—and more about demonstrating</w:t>
      </w:r>
      <w:r>
        <w:t xml:space="preserve"> </w:t>
      </w:r>
      <w:r>
        <w:rPr>
          <w:b/>
          <w:bCs/>
        </w:rPr>
        <w:t xml:space="preserve">incremental upside beyond a fully valued base case</w:t>
      </w:r>
      <w:r>
        <w:t xml:space="preserve">.</w:t>
      </w:r>
    </w:p>
    <w:p>
      <w:pPr>
        <w:pStyle w:val="BodyText"/>
      </w:pPr>
      <w:r>
        <w:t xml:space="preserve">The three numbers to watch first are:</w:t>
      </w:r>
    </w:p>
    <w:p>
      <w:pPr>
        <w:pStyle w:val="Compact"/>
        <w:numPr>
          <w:ilvl w:val="0"/>
          <w:numId w:val="1012"/>
        </w:numPr>
      </w:pPr>
      <w:r>
        <w:rPr>
          <w:b/>
          <w:bCs/>
        </w:rPr>
        <w:t xml:space="preserve">Adjusted EPS relative to the</w:t>
      </w:r>
      <w:r>
        <w:rPr>
          <w:b/>
          <w:bCs/>
        </w:rPr>
        <w:t xml:space="preserve"> </w:t>
      </w:r>
      <m:oMath>
        <m:r>
          <m:t>4.40</m:t>
        </m:r>
        <m:r>
          <m:rPr>
            <m:sty m:val="p"/>
          </m:rPr>
          <m:t>–</m:t>
        </m:r>
      </m:oMath>
      <w:r>
        <w:rPr>
          <w:b/>
          <w:bCs/>
        </w:rPr>
        <w:t xml:space="preserve">4.50 guide and $4.49 consensus.</w:t>
      </w:r>
    </w:p>
    <w:p>
      <w:pPr>
        <w:pStyle w:val="Compact"/>
        <w:numPr>
          <w:ilvl w:val="0"/>
          <w:numId w:val="1012"/>
        </w:numPr>
      </w:pPr>
      <w:r>
        <w:rPr>
          <w:b/>
          <w:bCs/>
        </w:rPr>
        <w:t xml:space="preserve">Adjusted operating margin relative to Q2 2025’s 30.1%.</w:t>
      </w:r>
    </w:p>
    <w:p>
      <w:pPr>
        <w:pStyle w:val="Compact"/>
        <w:numPr>
          <w:ilvl w:val="0"/>
          <w:numId w:val="1012"/>
        </w:numPr>
      </w:pPr>
      <w:r>
        <w:rPr>
          <w:b/>
          <w:bCs/>
        </w:rPr>
        <w:t xml:space="preserve">Full-year guidance relative to the current $17.90 upper end.</w:t>
      </w:r>
    </w:p>
    <w:p>
      <w:pPr>
        <w:pStyle w:val="FirstParagraph"/>
      </w:pPr>
      <w:r>
        <w:t xml:space="preserve">The three qualitative catalysts are</w:t>
      </w:r>
      <w:r>
        <w:t xml:space="preserve"> </w:t>
      </w:r>
      <w:r>
        <w:rPr>
          <w:b/>
          <w:bCs/>
        </w:rPr>
        <w:t xml:space="preserve">helium monetization, major electronics backlog wins and continued Americas volume strength</w:t>
      </w:r>
      <w:r>
        <w:t xml:space="preserve">. If those appear alongside a guidance increase, Linde can justify its premium. If the quarter merely meets expectations and management remains guarded, the quality of the franchise remains intact, but near-term upside may be limited by valuation.</w:t>
      </w:r>
    </w:p>
    <w:bookmarkEnd w:id="26"/>
    <w:bookmarkEnd w:id="27"/>
    <w:sectPr>
      <w:footnotePr>
        <w:numRestart w:val="eachSect"/>
      </w:footnotePr>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991">
    <w:nsid w:val="0000A991"/>
    <w:multiLevelType w:val="multilevel"/>
    <w:lvl w:ilvl="0">
      <w:numFmt w:val="bullet"/>
      <w:lvlText w:val=""/>
      <w:lvlJc w:val="left"/>
      <w:pPr>
        <w:ind w:left="720" w:hanging="360"/>
      </w:pPr>
      <w:rPr>
        <w:rFonts w:ascii="Symbol" w:hAnsi="Symbol" w:cs="Symbol" w:hint="default"/>
      </w:rPr>
    </w:lvl>
    <w:lvl w:ilvl="1">
      <w:numFmt w:val="bullet"/>
      <w:lvlText w:val="o"/>
      <w:lvlJc w:val="left"/>
      <w:pPr>
        <w:ind w:left="1440" w:hanging="360"/>
      </w:pPr>
      <w:rPr>
        <w:rFonts w:ascii="Courier New" w:hAnsi="Courier New" w:cs="Courier New" w:hint="default"/>
      </w:rPr>
    </w:lvl>
    <w:lvl w:ilvl="2">
      <w:numFmt w:val="bullet"/>
      <w:lvlText w:val=""/>
      <w:lvlJc w:val="left"/>
      <w:pPr>
        <w:ind w:left="2160" w:hanging="360"/>
      </w:pPr>
      <w:rPr>
        <w:rFonts w:ascii="Wingdings" w:hAnsi="Wingdings" w:cs="Wingdings" w:hint="default"/>
      </w:rPr>
    </w:lvl>
    <w:lvl w:ilvl="3">
      <w:numFmt w:val="bullet"/>
      <w:lvlText w:val=""/>
      <w:lvlJc w:val="left"/>
      <w:pPr>
        <w:ind w:left="2880" w:hanging="360"/>
      </w:pPr>
      <w:rPr>
        <w:rFonts w:ascii="Symbol" w:hAnsi="Symbol" w:cs="Symbol" w:hint="default"/>
      </w:rPr>
    </w:lvl>
    <w:lvl w:ilvl="4">
      <w:numFmt w:val="bullet"/>
      <w:lvlText w:val="o"/>
      <w:lvlJc w:val="left"/>
      <w:pPr>
        <w:ind w:left="3600" w:hanging="360"/>
      </w:pPr>
      <w:rPr>
        <w:rFonts w:ascii="Courier New" w:hAnsi="Courier New" w:cs="Courier New" w:hint="default"/>
      </w:rPr>
    </w:lvl>
    <w:lvl w:ilvl="5">
      <w:numFmt w:val="bullet"/>
      <w:lvlText w:val=""/>
      <w:lvlJc w:val="left"/>
      <w:pPr>
        <w:ind w:left="4320" w:hanging="360"/>
      </w:pPr>
      <w:rPr>
        <w:rFonts w:ascii="Wingdings" w:hAnsi="Wingdings" w:cs="Wingdings" w:hint="default"/>
      </w:rPr>
    </w:lvl>
    <w:lvl w:ilvl="6">
      <w:numFmt w:val="bullet"/>
      <w:lvlText w:val=""/>
      <w:lvlJc w:val="left"/>
      <w:pPr>
        <w:ind w:left="5040" w:hanging="360"/>
      </w:pPr>
      <w:rPr>
        <w:rFonts w:ascii="Symbol" w:hAnsi="Symbol" w:cs="Symbol" w:hint="default"/>
      </w:rPr>
    </w:lvl>
    <w:lvl w:ilvl="7">
      <w:numFmt w:val="bullet"/>
      <w:lvlText w:val="o"/>
      <w:lvlJc w:val="left"/>
      <w:pPr>
        <w:ind w:left="5760" w:hanging="360"/>
      </w:pPr>
      <w:rPr>
        <w:rFonts w:ascii="Courier New" w:hAnsi="Courier New" w:cs="Courier New" w:hint="default"/>
      </w:rPr>
    </w:lvl>
    <w:lvl w:ilvl="8">
      <w:numFmt w:val="bullet"/>
      <w:lvlText w:val=""/>
      <w:lvlJc w:val="left"/>
      <w:pPr>
        <w:ind w:left="6480" w:hanging="360"/>
      </w:pPr>
      <w:rPr>
        <w:rFonts w:ascii="Wingdings" w:hAnsi="Wingdings" w:cs="Wingdings" w:hint="default"/>
      </w:rPr>
    </w:lvl>
  </w:abstractNum>
  <w:abstractNum w:abstractNumId="99411">
    <w:nsid w:val="00A99411"/>
    <w:multiLevelType w:val="multilevel"/>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 w:numId="1010">
    <w:abstractNumId w:val="991"/>
  </w:num>
  <w:num w:numId="1011">
    <w:abstractNumId w:val="991"/>
  </w:num>
  <w:num w:numId="1012">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EastAsia" w:hAnsiTheme="minorHAnsi"/>
        <w:sz w:val="24"/>
        <w:szCs w:val="24"/>
        <w:lang w:bidi="ar-SA" w:eastAsia="zh-CN"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link w:val="TitleChar"/>
    <w:uiPriority w:val="10"/>
    <w:qFormat/>
    <w:rsid w:val="00A10FD9"/>
    <w:pPr>
      <w:spacing w:after="80" w:line="240" w:lineRule="auto"/>
      <w:contextualSpacing/>
      <w:jc w:val="center"/>
    </w:pPr>
    <w:rPr>
      <w:rFonts w:asciiTheme="majorHAnsi" w:cstheme="majorBidi" w:eastAsiaTheme="majorEastAsia" w:hAnsiTheme="majorHAnsi"/>
      <w:sz w:val="56"/>
      <w:szCs w:val="56"/>
    </w:rPr>
  </w:style>
  <w:style w:customStyle="1" w:styleId="TitleChar" w:type="character">
    <w:name w:val="Title Char"/>
    <w:basedOn w:val="DefaultParagraphFont"/>
    <w:link w:val="Title"/>
    <w:uiPriority w:val="10"/>
    <w:rsid w:val="00A10FD9"/>
    <w:rPr>
      <w:rFonts w:asciiTheme="majorHAnsi" w:cstheme="majorBidi" w:eastAsiaTheme="majorEastAsia" w:hAnsiTheme="majorHAnsi"/>
      <w:sz w:val="56"/>
      <w:szCs w:val="56"/>
    </w:rPr>
  </w:style>
  <w:style w:styleId="Subtitle" w:type="paragraph">
    <w:name w:val="Subtitle"/>
    <w:basedOn w:val="Title"/>
    <w:next w:val="BodyText"/>
    <w:link w:val="SubtitleChar"/>
    <w:uiPriority w:val="11"/>
    <w:qFormat/>
    <w:rsid w:val="00A10FD9"/>
    <w:pPr>
      <w:numPr>
        <w:ilvl w:val="1"/>
      </w:numPr>
    </w:pPr>
    <w:rPr>
      <w:rFonts w:cstheme="majorBidi" w:eastAsiaTheme="majorEastAsia"/>
      <w:spacing w:val="15"/>
      <w:sz w:val="28"/>
      <w:szCs w:val="28"/>
    </w:rPr>
  </w:style>
  <w:style w:customStyle="1" w:styleId="SubtitleChar" w:type="character">
    <w:name w:val="Subtitle Char"/>
    <w:basedOn w:val="DefaultParagraphFont"/>
    <w:link w:val="Subtitle"/>
    <w:uiPriority w:val="11"/>
    <w:rsid w:val="00A10FD9"/>
    <w:rPr>
      <w:rFonts w:cstheme="majorBidi" w:eastAsiaTheme="majorEastAsia"/>
      <w:color w:themeColor="text1" w:themeTint="A6" w:val="595959"/>
      <w:spacing w:val="15"/>
      <w:sz w:val="28"/>
      <w:szCs w:val="28"/>
    </w:rPr>
  </w:style>
  <w:style w:customStyle="1" w:styleId="Author" w:type="paragraph">
    <w:name w:val="Author"/>
    <w:basedOn w:val="Title"/>
    <w:next w:val="BodyText"/>
    <w:qFormat/>
    <w:pPr>
      <w:keepNext/>
      <w:keepLines/>
    </w:pPr>
    <w:rPr>
      <w:sz w:val="24"/>
      <w:szCs w:val="24"/>
    </w:rPr>
  </w:style>
  <w:style w:styleId="Date" w:type="paragraph">
    <w:name w:val="Date"/>
    <w:basedOn w:val="Title"/>
    <w:next w:val="BodyText"/>
    <w:qFormat/>
    <w:pPr>
      <w:keepNext/>
      <w:keepLines/>
    </w:pPr>
    <w:rPr>
      <w:sz w:val="24"/>
      <w:szCs w:val="24"/>
    </w:rPr>
  </w:style>
  <w:style w:customStyle="1" w:styleId="AbstractTitle" w:type="paragraph">
    <w:name w:val="Abstract Title"/>
    <w:basedOn w:val="Normal"/>
    <w:next w:val="Abstract"/>
    <w:qFormat/>
    <w:pPr>
      <w:keepNext/>
      <w:keepLines/>
      <w:spacing w:after="0" w:before="300"/>
      <w:jc w:val="center"/>
    </w:pPr>
    <w:rPr>
      <w:b/>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link w:val="Heading1Char"/>
    <w:uiPriority w:val="9"/>
    <w:qFormat/>
    <w:rsid w:val="00A10FD9"/>
    <w:pPr>
      <w:keepNext/>
      <w:keepLines/>
      <w:spacing w:after="80" w:before="360"/>
      <w:outlineLvl w:val="0"/>
    </w:pPr>
    <w:rPr>
      <w:rFonts w:asciiTheme="majorHAnsi" w:cstheme="majorBidi" w:eastAsiaTheme="majorEastAsia" w:hAnsiTheme="majorHAnsi"/>
      <w:color w:themeColor="accent1" w:themeShade="BF" w:val="0F4761"/>
      <w:sz w:val="40"/>
      <w:szCs w:val="40"/>
    </w:rPr>
  </w:style>
  <w:style w:styleId="Heading2" w:type="paragraph">
    <w:name w:val="heading 2"/>
    <w:basedOn w:val="Normal"/>
    <w:next w:val="BodyText"/>
    <w:link w:val="Heading2Char"/>
    <w:uiPriority w:val="9"/>
    <w:semiHidden/>
    <w:unhideWhenUsed/>
    <w:qFormat/>
    <w:rsid w:val="00A10FD9"/>
    <w:pPr>
      <w:keepNext/>
      <w:keepLines/>
      <w:spacing w:after="80" w:before="160"/>
      <w:outlineLvl w:val="1"/>
    </w:pPr>
    <w:rPr>
      <w:rFonts w:asciiTheme="majorHAnsi" w:cstheme="majorBidi" w:eastAsiaTheme="majorEastAsia" w:hAnsiTheme="majorHAnsi"/>
      <w:color w:themeColor="accent1" w:themeShade="BF" w:val="0F4761"/>
      <w:sz w:val="32"/>
      <w:szCs w:val="32"/>
    </w:rPr>
  </w:style>
  <w:style w:styleId="Heading3" w:type="paragraph">
    <w:name w:val="heading 3"/>
    <w:basedOn w:val="Normal"/>
    <w:next w:val="BodyText"/>
    <w:link w:val="Heading3Char"/>
    <w:uiPriority w:val="9"/>
    <w:semiHidden/>
    <w:unhideWhenUsed/>
    <w:qFormat/>
    <w:rsid w:val="00A10FD9"/>
    <w:pPr>
      <w:keepNext/>
      <w:keepLines/>
      <w:spacing w:after="80" w:before="160"/>
      <w:outlineLvl w:val="2"/>
    </w:pPr>
    <w:rPr>
      <w:rFonts w:cstheme="majorBidi" w:eastAsiaTheme="majorEastAsia"/>
      <w:color w:themeColor="accent1" w:themeShade="BF" w:val="0F4761"/>
      <w:sz w:val="28"/>
      <w:szCs w:val="28"/>
    </w:rPr>
  </w:style>
  <w:style w:styleId="Heading4" w:type="paragraph">
    <w:name w:val="heading 4"/>
    <w:basedOn w:val="Normal"/>
    <w:next w:val="BodyText"/>
    <w:link w:val="Heading4Char"/>
    <w:uiPriority w:val="9"/>
    <w:semiHidden/>
    <w:unhideWhenUsed/>
    <w:qFormat/>
    <w:rsid w:val="00A10FD9"/>
    <w:pPr>
      <w:keepNext/>
      <w:keepLines/>
      <w:spacing w:after="40" w:before="80"/>
      <w:outlineLvl w:val="3"/>
    </w:pPr>
    <w:rPr>
      <w:rFonts w:cstheme="majorBidi" w:eastAsiaTheme="majorEastAsia"/>
      <w:i/>
      <w:iCs/>
      <w:color w:themeColor="accent1" w:themeShade="BF" w:val="0F4761"/>
    </w:rPr>
  </w:style>
  <w:style w:styleId="Heading5" w:type="paragraph">
    <w:name w:val="heading 5"/>
    <w:basedOn w:val="Normal"/>
    <w:next w:val="BodyText"/>
    <w:link w:val="Heading5Char"/>
    <w:uiPriority w:val="9"/>
    <w:semiHidden/>
    <w:unhideWhenUsed/>
    <w:qFormat/>
    <w:rsid w:val="00A10FD9"/>
    <w:pPr>
      <w:keepNext/>
      <w:keepLines/>
      <w:spacing w:after="40" w:before="80"/>
      <w:outlineLvl w:val="4"/>
    </w:pPr>
    <w:rPr>
      <w:rFonts w:cstheme="majorBidi" w:eastAsiaTheme="majorEastAsia"/>
      <w:color w:themeColor="accent1" w:themeShade="BF" w:val="0F4761"/>
    </w:rPr>
  </w:style>
  <w:style w:styleId="Heading6" w:type="paragraph">
    <w:name w:val="heading 6"/>
    <w:basedOn w:val="Normal"/>
    <w:next w:val="BodyText"/>
    <w:link w:val="Heading6Char"/>
    <w:uiPriority w:val="9"/>
    <w:semiHidden/>
    <w:unhideWhenUsed/>
    <w:qFormat/>
    <w:rsid w:val="00A10FD9"/>
    <w:pPr>
      <w:keepNext/>
      <w:keepLines/>
      <w:spacing w:after="0" w:before="40"/>
      <w:outlineLvl w:val="5"/>
    </w:pPr>
    <w:rPr>
      <w:rFonts w:cstheme="majorBidi" w:eastAsiaTheme="majorEastAsia"/>
      <w:i/>
      <w:iCs/>
      <w:color w:themeColor="text1" w:themeTint="A6" w:val="595959"/>
    </w:rPr>
  </w:style>
  <w:style w:styleId="Heading7" w:type="paragraph">
    <w:name w:val="heading 7"/>
    <w:basedOn w:val="Normal"/>
    <w:next w:val="BodyText"/>
    <w:link w:val="Heading7Char"/>
    <w:uiPriority w:val="9"/>
    <w:semiHidden/>
    <w:unhideWhenUsed/>
    <w:qFormat/>
    <w:rsid w:val="00A10FD9"/>
    <w:pPr>
      <w:keepNext/>
      <w:keepLines/>
      <w:spacing w:after="0" w:before="40"/>
      <w:outlineLvl w:val="6"/>
    </w:pPr>
    <w:rPr>
      <w:rFonts w:cstheme="majorBidi" w:eastAsiaTheme="majorEastAsia"/>
      <w:color w:themeColor="text1" w:themeTint="A6" w:val="595959"/>
    </w:rPr>
  </w:style>
  <w:style w:styleId="Heading8" w:type="paragraph">
    <w:name w:val="heading 8"/>
    <w:basedOn w:val="Normal"/>
    <w:next w:val="BodyText"/>
    <w:link w:val="Heading8Char"/>
    <w:uiPriority w:val="9"/>
    <w:semiHidden/>
    <w:unhideWhenUsed/>
    <w:qFormat/>
    <w:rsid w:val="00A10FD9"/>
    <w:pPr>
      <w:keepNext/>
      <w:keepLines/>
      <w:spacing w:after="0"/>
      <w:outlineLvl w:val="7"/>
    </w:pPr>
    <w:rPr>
      <w:rFonts w:cstheme="majorBidi" w:eastAsiaTheme="majorEastAsia"/>
      <w:i/>
      <w:iCs/>
      <w:color w:themeColor="text1" w:themeTint="D8" w:val="272727"/>
    </w:rPr>
  </w:style>
  <w:style w:styleId="Heading9" w:type="paragraph">
    <w:name w:val="heading 9"/>
    <w:basedOn w:val="Normal"/>
    <w:next w:val="BodyText"/>
    <w:link w:val="Heading9Char"/>
    <w:uiPriority w:val="9"/>
    <w:semiHidden/>
    <w:unhideWhenUsed/>
    <w:qFormat/>
    <w:rsid w:val="00A10FD9"/>
    <w:pPr>
      <w:keepNext/>
      <w:keepLines/>
      <w:spacing w:after="0"/>
      <w:outlineLvl w:val="8"/>
    </w:pPr>
    <w:rPr>
      <w:rFonts w:cstheme="majorBidi" w:eastAsiaTheme="majorEastAsia"/>
      <w:color w:themeColor="text1" w:themeTint="D8" w:val="272727"/>
    </w:rPr>
  </w:style>
  <w:style w:customStyle="1" w:styleId="Heading1Char" w:type="character">
    <w:name w:val="Heading 1 Char"/>
    <w:basedOn w:val="DefaultParagraphFont"/>
    <w:link w:val="Heading1"/>
    <w:uiPriority w:val="9"/>
    <w:rsid w:val="00A10FD9"/>
    <w:rPr>
      <w:rFonts w:asciiTheme="majorHAnsi" w:cstheme="majorBidi" w:eastAsiaTheme="majorEastAsia" w:hAnsiTheme="majorHAnsi"/>
      <w:color w:themeColor="accent1" w:themeShade="BF" w:val="0F4761"/>
      <w:sz w:val="40"/>
      <w:szCs w:val="40"/>
    </w:rPr>
  </w:style>
  <w:style w:customStyle="1" w:styleId="Heading2Char" w:type="character">
    <w:name w:val="Heading 2 Char"/>
    <w:basedOn w:val="DefaultParagraphFont"/>
    <w:link w:val="Heading2"/>
    <w:uiPriority w:val="9"/>
    <w:semiHidden/>
    <w:rsid w:val="00A10FD9"/>
    <w:rPr>
      <w:rFonts w:asciiTheme="majorHAnsi" w:cstheme="majorBidi" w:eastAsiaTheme="majorEastAsia" w:hAnsiTheme="majorHAnsi"/>
      <w:color w:themeColor="accent1" w:themeShade="BF" w:val="0F4761"/>
      <w:sz w:val="32"/>
      <w:szCs w:val="32"/>
    </w:rPr>
  </w:style>
  <w:style w:customStyle="1" w:styleId="Heading3Char" w:type="character">
    <w:name w:val="Heading 3 Char"/>
    <w:basedOn w:val="DefaultParagraphFont"/>
    <w:link w:val="Heading3"/>
    <w:uiPriority w:val="9"/>
    <w:semiHidden/>
    <w:rsid w:val="00A10FD9"/>
    <w:rPr>
      <w:rFonts w:cstheme="majorBidi" w:eastAsiaTheme="majorEastAsia"/>
      <w:color w:themeColor="accent1" w:themeShade="BF" w:val="0F4761"/>
      <w:sz w:val="28"/>
      <w:szCs w:val="28"/>
    </w:rPr>
  </w:style>
  <w:style w:customStyle="1" w:styleId="Heading4Char" w:type="character">
    <w:name w:val="Heading 4 Char"/>
    <w:basedOn w:val="DefaultParagraphFont"/>
    <w:link w:val="Heading4"/>
    <w:uiPriority w:val="9"/>
    <w:semiHidden/>
    <w:rsid w:val="00A10FD9"/>
    <w:rPr>
      <w:rFonts w:cstheme="majorBidi" w:eastAsiaTheme="majorEastAsia"/>
      <w:i/>
      <w:iCs/>
      <w:color w:themeColor="accent1" w:themeShade="BF" w:val="0F4761"/>
    </w:rPr>
  </w:style>
  <w:style w:customStyle="1" w:styleId="Heading5Char" w:type="character">
    <w:name w:val="Heading 5 Char"/>
    <w:basedOn w:val="DefaultParagraphFont"/>
    <w:link w:val="Heading5"/>
    <w:uiPriority w:val="9"/>
    <w:semiHidden/>
    <w:rsid w:val="00A10FD9"/>
    <w:rPr>
      <w:rFonts w:cstheme="majorBidi" w:eastAsiaTheme="majorEastAsia"/>
      <w:color w:themeColor="accent1" w:themeShade="BF" w:val="0F4761"/>
    </w:rPr>
  </w:style>
  <w:style w:customStyle="1" w:styleId="Heading6Char" w:type="character">
    <w:name w:val="Heading 6 Char"/>
    <w:basedOn w:val="DefaultParagraphFont"/>
    <w:link w:val="Heading6"/>
    <w:uiPriority w:val="9"/>
    <w:semiHidden/>
    <w:rsid w:val="00A10FD9"/>
    <w:rPr>
      <w:rFonts w:cstheme="majorBidi" w:eastAsiaTheme="majorEastAsia"/>
      <w:i/>
      <w:iCs/>
      <w:color w:themeColor="text1" w:themeTint="A6" w:val="595959"/>
    </w:rPr>
  </w:style>
  <w:style w:customStyle="1" w:styleId="Heading7Char" w:type="character">
    <w:name w:val="Heading 7 Char"/>
    <w:basedOn w:val="DefaultParagraphFont"/>
    <w:link w:val="Heading7"/>
    <w:uiPriority w:val="9"/>
    <w:semiHidden/>
    <w:rsid w:val="00A10FD9"/>
    <w:rPr>
      <w:rFonts w:cstheme="majorBidi" w:eastAsiaTheme="majorEastAsia"/>
      <w:color w:themeColor="text1" w:themeTint="A6" w:val="595959"/>
    </w:rPr>
  </w:style>
  <w:style w:customStyle="1" w:styleId="Heading8Char" w:type="character">
    <w:name w:val="Heading 8 Char"/>
    <w:basedOn w:val="DefaultParagraphFont"/>
    <w:link w:val="Heading8"/>
    <w:uiPriority w:val="9"/>
    <w:semiHidden/>
    <w:rsid w:val="00A10FD9"/>
    <w:rPr>
      <w:rFonts w:cstheme="majorBidi" w:eastAsiaTheme="majorEastAsia"/>
      <w:i/>
      <w:iCs/>
      <w:color w:themeColor="text1" w:themeTint="D8" w:val="272727"/>
    </w:rPr>
  </w:style>
  <w:style w:customStyle="1" w:styleId="Heading9Char" w:type="character">
    <w:name w:val="Heading 9 Char"/>
    <w:basedOn w:val="DefaultParagraphFont"/>
    <w:link w:val="Heading9"/>
    <w:uiPriority w:val="9"/>
    <w:semiHidden/>
    <w:rsid w:val="00A10FD9"/>
    <w:rPr>
      <w:rFonts w:cstheme="majorBidi" w:eastAsiaTheme="majorEastAsia"/>
      <w:color w:themeColor="text1" w:themeTint="D8" w:val="272727"/>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Text"/>
    <w:next w:val="Footnote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8" Target="numbering.xml" /><Relationship Type="http://schemas.openxmlformats.org/officeDocument/2006/relationships/styles" Id="rId7" Target="styles.xml" /><Relationship Type="http://schemas.openxmlformats.org/officeDocument/2006/relationships/settings" Id="rId6" Target="settings.xml" /><Relationship Type="http://schemas.openxmlformats.org/officeDocument/2006/relationships/webSettings" Id="rId5" Target="webSettings.xml" /><Relationship Type="http://schemas.openxmlformats.org/officeDocument/2006/relationships/fontTable" Id="rId4" Target="fontTable.xml" /><Relationship Type="http://schemas.openxmlformats.org/officeDocument/2006/relationships/theme" Id="rId3" Target="theme/theme1.xml" /><Relationship Type="http://schemas.openxmlformats.org/officeDocument/2006/relationships/footnotes" Id="rId2" Target="footnotes.xml" /><Relationship Type="http://schemas.openxmlformats.org/officeDocument/2006/relationships/comments" Id="rId1" Target="comments.xml" /><Relationship Type="http://schemas.openxmlformats.org/officeDocument/2006/relationships/hyperlink" Id="rId9" Target="https://www.linde.com/news-and-media/2026/linde-announces-second-quarter-2026-earnings-and-conference-call-schedule?utm_source=openai" TargetMode="External" /><Relationship Type="http://schemas.openxmlformats.org/officeDocument/2006/relationships/hyperlink" Id="rId12" Target="https://www.linde.com/news-and-media/2026/linde-reports-first-quarter-2026-results?utm_source=openai" TargetMode="External" /><Relationship Type="http://schemas.openxmlformats.org/officeDocument/2006/relationships/hyperlink" Id="rId10" Target="https://www.marketbeat.com/earnings/reports/2026-7-31-linde-plc-stock/?utm_source=openai" TargetMode="External" /></Relationships>
</file>

<file path=word/_rels/footnotes.xml.rels><?xml version="1.0" encoding="UTF-8"?><Relationships xmlns="http://schemas.openxmlformats.org/package/2006/relationships"><Relationship Type="http://schemas.openxmlformats.org/officeDocument/2006/relationships/hyperlink" Id="rId9" Target="https://www.linde.com/news-and-media/2026/linde-announces-second-quarter-2026-earnings-and-conference-call-schedule?utm_source=openai" TargetMode="External" /><Relationship Type="http://schemas.openxmlformats.org/officeDocument/2006/relationships/hyperlink" Id="rId12" Target="https://www.linde.com/news-and-media/2026/linde-reports-first-quarter-2026-results?utm_source=openai" TargetMode="External" /><Relationship Type="http://schemas.openxmlformats.org/officeDocument/2006/relationships/hyperlink" Id="rId10" Target="https://www.marketbeat.com/earnings/reports/2026-7-31-linde-plc-stock/?utm_source=openai"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2026-07-31T00:18:02Z</dcterms:created>
  <dcterms:modified xsi:type="dcterms:W3CDTF">2026-07-31T00:18:02Z</dcterms:modified>
</cp:coreProperties>
</file>

<file path=docProps/custom.xml><?xml version="1.0" encoding="utf-8"?>
<Properties xmlns="http://schemas.openxmlformats.org/officeDocument/2006/custom-properties" xmlns:vt="http://schemas.openxmlformats.org/officeDocument/2006/docPropsVTypes"/>
</file>