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lin-earnings-predictions--2026-07-31"/>
    <w:p>
      <w:pPr>
        <w:pStyle w:val="Heading1"/>
      </w:pPr>
      <w:r>
        <w:t xml:space="preserve">LIN Earnings Predictions — 2026-07-31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~$4.55 vs. cons $4.49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~$9.18B vs. cons $9.11B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Underlying sales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~4.0% vs. cons 3.0%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17.80</m:t>
              </m:r>
              <m:r>
                <m:rPr>
                  <m:sty m:val="p"/>
                </m:rPr>
                <m:t>–</m:t>
              </m:r>
            </m:oMath>
            <w:r>
              <w:t xml:space="preserve">18.05 (midpoint $17.93) vs. cons $17.84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4.58</m:t>
              </m:r>
              <m:r>
                <m:rPr>
                  <m:sty m:val="p"/>
                </m:rPr>
                <m:t>–</m:t>
              </m:r>
            </m:oMath>
            <w:r>
              <w:t xml:space="preserve">4.68 (midpoint $4.63) vs. cons $4.60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operating-margin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~60–70 bps vs. cons 55 bps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Sale-of-gas backlog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~$7.8B vs. cons $7.4B (FY26 year-end)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+5.0% (FOLLOW-THROUGH)</w:t>
            </w:r>
          </w:p>
        </w:tc>
        <w:tc>
          <w:tcPr/>
          <w:p>
            <w:pPr>
              <w:pStyle w:val="Compact"/>
            </w:pPr>
            <w:r>
              <w:t xml:space="preserve">Day-1 residual ~+3.5% and day-5 residual ~+5.0%: an EPS beat paired with a FY26 midpoint increase to ~</w:t>
            </w:r>
            <m:oMath>
              <m:r>
                <m:t>17.93</m:t>
              </m:r>
              <m:r>
                <m:t>v</m:t>
              </m:r>
              <m:r>
                <m:t>e</m:t>
              </m:r>
              <m:r>
                <m:t>r</m:t>
              </m:r>
              <m:r>
                <m:t>s</m:t>
              </m:r>
              <m:r>
                <m:t>u</m:t>
              </m:r>
              <m:r>
                <m:t>s</m:t>
              </m:r>
              <m:r>
                <m:t> </m:t>
              </m:r>
            </m:oMath>
            <w:r>
              <w:t xml:space="preserve">17.84 consensus should lift out-period estimates; helium upside and higher electronics/backlog visibility add support beyond the reported quarter.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2026-07-31T00:17:18Z</dcterms:created>
  <dcterms:modified xsi:type="dcterms:W3CDTF">2026-07-31T00:17:18Z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