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inde-nasdaq-lin--2q26-earnings-preview"/>
    <w:p>
      <w:pPr>
        <w:pStyle w:val="Heading1"/>
      </w:pPr>
      <w:r>
        <w:t xml:space="preserve">Linde (NASDAQ: LIN)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Friday, July 31, 2026</w:t>
      </w:r>
      <w:r>
        <w:t xml:space="preserve">. LIN’s 2Q26 earnings call is scheduled for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therefore uses information available through the</w:t>
      </w:r>
      <w:r>
        <w:t xml:space="preserve"> </w:t>
      </w:r>
      <w:r>
        <w:rPr>
          <w:b/>
          <w:bCs/>
        </w:rPr>
        <w:t xml:space="preserve">July 30 close</w:t>
      </w:r>
      <w:r>
        <w:t xml:space="preserve">.</w:t>
      </w:r>
    </w:p>
    <w:bookmarkStart w:id="9" w:name="X6b0dd19bef51187506c138261d63f0b3e7a43fa"/>
    <w:p>
      <w:pPr>
        <w:pStyle w:val="Heading2"/>
      </w:pPr>
      <w:r>
        <w:t xml:space="preserve">Investment view: the key question is whether Linde can convert improving Americas activity and helium tightness into a full-year guide raise</w:t>
      </w:r>
    </w:p>
    <w:p>
      <w:pPr>
        <w:pStyle w:val="FirstParagraph"/>
      </w:pPr>
      <w:r>
        <w:t xml:space="preserve">Linde enters 2Q with a familiar setup: a high-quality, defensively positioned industrial-gas franchise that has already guided to solid earnings growth, but with investor attention focused less on the reported EPS result and more on the</w:t>
      </w:r>
      <w:r>
        <w:t xml:space="preserve"> </w:t>
      </w:r>
      <w:r>
        <w:rPr>
          <w:b/>
          <w:bCs/>
        </w:rPr>
        <w:t xml:space="preserve">quality and durability of the exit rate</w:t>
      </w:r>
      <w:r>
        <w:t xml:space="preserve">.</w:t>
      </w:r>
    </w:p>
    <w:p>
      <w:pPr>
        <w:pStyle w:val="BodyText"/>
      </w:pPr>
      <w:r>
        <w:t xml:space="preserve">Management’s 2Q outlook is</w:t>
      </w:r>
      <w:r>
        <w:t xml:space="preserve"> </w:t>
      </w:r>
      <w:r>
        <w:rPr>
          <w:b/>
          <w:bCs/>
        </w:rPr>
        <w:t xml:space="preserve">adjusted EPS of</w:t>
      </w:r>
      <w:r>
        <w:rPr>
          <w:b/>
          <w:bCs/>
        </w:rPr>
        <w:t xml:space="preserve"> </w:t>
      </w:r>
      <m:oMath>
        <m:r>
          <m:t>4.40</m:t>
        </m:r>
        <m:r>
          <m:rPr>
            <m:sty m:val="p"/>
          </m:rPr>
          <m:t>–</m:t>
        </m:r>
      </m:oMath>
      <w:r>
        <w:rPr>
          <w:b/>
          <w:bCs/>
        </w:rPr>
        <w:t xml:space="preserve">4.50</w:t>
      </w:r>
      <w:r>
        <w:t xml:space="preserve">, representing 8–10% year-over-year growth versus $4.09 in 2Q25. The midpoint is $4.45. For FY26, Linde guides to</w:t>
      </w:r>
      <w:r>
        <w:t xml:space="preserve"> </w:t>
      </w:r>
      <m:oMath>
        <m:r>
          <m:t>17.60</m:t>
        </m:r>
        <m:r>
          <m:rPr>
            <m:sty m:val="p"/>
          </m:rPr>
          <m:t>–</m:t>
        </m:r>
      </m:oMath>
      <w:r>
        <w:t xml:space="preserve">17.90, or 7–9% growth, including an assumed ~1% currency tailwind. The report needs to demonstrate that organic growth, pricing/productivity, backlog execution, and capital allocation can sustain the company’s longer-term compounding algorithm even while Europe remains soft.</w:t>
      </w:r>
    </w:p>
    <w:p>
      <w:pPr>
        <w:pStyle w:val="BodyText"/>
      </w:pPr>
      <w:r>
        <w:t xml:space="preserve">LIN closed July 30 at</w:t>
      </w:r>
      <w:r>
        <w:t xml:space="preserve"> </w:t>
      </w:r>
      <w:r>
        <w:rPr>
          <w:b/>
          <w:bCs/>
        </w:rPr>
        <w:t xml:space="preserve">$508.68</w:t>
      </w:r>
      <w:r>
        <w:t xml:space="preserve">, up about</w:t>
      </w:r>
      <w:r>
        <w:t xml:space="preserve"> </w:t>
      </w:r>
      <w:r>
        <w:rPr>
          <w:b/>
          <w:bCs/>
        </w:rPr>
        <w:t xml:space="preserve">19.3% year-to-date</w:t>
      </w:r>
      <w:r>
        <w:t xml:space="preserve">, but roughly</w:t>
      </w:r>
      <w:r>
        <w:t xml:space="preserve"> </w:t>
      </w:r>
      <w:r>
        <w:rPr>
          <w:b/>
          <w:bCs/>
        </w:rPr>
        <w:t xml:space="preserve">6.9% below</w:t>
      </w:r>
      <w:r>
        <w:t xml:space="preserve"> </w:t>
      </w:r>
      <w:r>
        <w:t xml:space="preserve">its July 2 closing high of $546.64. The pullback raises the importance of a constructive outlook—particularly a full-year guide increase, evidence of incremental helium upside, or further electronics-project awards.</w:t>
      </w:r>
    </w:p>
    <w:p>
      <w:r>
        <w:pict>
          <v:rect style="width:0;height:1.5pt" o:hralign="center" o:hrstd="t" o:hr="t"/>
        </w:pict>
      </w:r>
    </w:p>
    <w:bookmarkEnd w:id="9"/>
    <w:bookmarkStart w:id="15" w:name="what-matters-most-this-quarter"/>
    <w:p>
      <w:pPr>
        <w:pStyle w:val="Heading2"/>
      </w:pPr>
      <w:r>
        <w:t xml:space="preserve">What matters most this quarter</w:t>
      </w:r>
    </w:p>
    <w:bookmarkStart w:id="10" w:name="X964354723cabd6ece6624baa09f73d405a30554"/>
    <w:p>
      <w:pPr>
        <w:pStyle w:val="Heading3"/>
      </w:pPr>
      <w:r>
        <w:t xml:space="preserve">1. EPS delivery—and, more importantly, the FY26 outlook</w:t>
      </w:r>
    </w:p>
    <w:p>
      <w:pPr>
        <w:pStyle w:val="FirstParagraph"/>
      </w:pPr>
      <w:r>
        <w:t xml:space="preserve">The headline hurdle is clear: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company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$4.09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4.40</m:t>
              </m:r>
              <m:r>
                <m:rPr>
                  <m:sty m:val="p"/>
                </m:rPr>
                <m:t>–</m:t>
              </m:r>
            </m:oMath>
            <w:r>
              <w:t xml:space="preserve">4.50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$4.45</w:t>
            </w:r>
          </w:p>
        </w:tc>
      </w:tr>
      <w:tr>
        <w:tc>
          <w:tcPr/>
          <w:p>
            <w:pPr>
              <w:pStyle w:val="Compact"/>
            </w:pPr>
            <w:r>
              <w:t xml:space="preserve">YoY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8–10%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~9%</w:t>
            </w:r>
          </w:p>
        </w:tc>
      </w:tr>
    </w:tbl>
    <w:p>
      <w:pPr>
        <w:pStyle w:val="BodyText"/>
      </w:pPr>
      <w:r>
        <w:t xml:space="preserve">At the midpoint, the guide implies approximately</w:t>
      </w:r>
      <w:r>
        <w:t xml:space="preserve"> </w:t>
      </w:r>
      <w:r>
        <w:rPr>
          <w:b/>
          <w:bCs/>
        </w:rPr>
        <w:t xml:space="preserve">8.8%</w:t>
      </w:r>
      <w:r>
        <w:t xml:space="preserve"> </w:t>
      </w:r>
      <w:r>
        <w:t xml:space="preserve">year-over-year EPS growth.</w:t>
      </w:r>
    </w:p>
    <w:p>
      <w:pPr>
        <w:pStyle w:val="BodyText"/>
      </w:pPr>
      <w:r>
        <w:t xml:space="preserve">Linde raised the bottom end of its FY26 adjusted-EPS range by $0.20 after 1Q, but retained the $17.90 high end because management wanted more clarity on macro and geopolitical conditions. A</w:t>
      </w:r>
      <w:r>
        <w:t xml:space="preserve"> </w:t>
      </w:r>
      <w:r>
        <w:rPr>
          <w:b/>
          <w:bCs/>
        </w:rPr>
        <w:t xml:space="preserve">clean result near or above the high end of 2Q guidance</w:t>
      </w:r>
      <w:r>
        <w:t xml:space="preserve">, combined with stable-to-improving regional trends, would increase the case for an upward revision to the annual range.</w:t>
      </w:r>
    </w:p>
    <w:p>
      <w:pPr>
        <w:pStyle w:val="BodyText"/>
      </w:pPr>
      <w:r>
        <w:rPr>
          <w:b/>
          <w:bCs/>
        </w:rPr>
        <w:t xml:space="preserve">Investor read-through: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Bullish:</w:t>
      </w:r>
      <w:r>
        <w:t xml:space="preserve"> </w:t>
      </w:r>
      <w:r>
        <w:t xml:space="preserve">2Q EPS above $4.50, a higher FY26 range, or a clear top-end bias tied to helium, Americas volumes, FX, or productivity.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Adequate:</w:t>
      </w:r>
      <w:r>
        <w:t xml:space="preserve"> </w:t>
      </w:r>
      <w:r>
        <w:t xml:space="preserve">EPS in-range and FY guide reiterated, with continued margin expansion.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Disappointing:</w:t>
      </w:r>
      <w:r>
        <w:t xml:space="preserve"> </w:t>
      </w:r>
      <w:r>
        <w:t xml:space="preserve">An in-range quarter accompanied by a more cautious macro outlook, lower confidence in EMEA, or evidence that helium/project timing upside is slipping.</w:t>
      </w:r>
    </w:p>
    <w:p>
      <w:r>
        <w:pict>
          <v:rect style="width:0;height:1.5pt" o:hralign="center" o:hrstd="t" o:hr="t"/>
        </w:pict>
      </w:r>
    </w:p>
    <w:bookmarkEnd w:id="10"/>
    <w:bookmarkStart w:id="11" w:name="X29a100571b3c89e68fb7cb7387b07e11dfed7d4"/>
    <w:p>
      <w:pPr>
        <w:pStyle w:val="Heading3"/>
      </w:pPr>
      <w:r>
        <w:t xml:space="preserve">2. Americas is the operating engine</w:t>
      </w:r>
    </w:p>
    <w:p>
      <w:pPr>
        <w:pStyle w:val="FirstParagraph"/>
      </w:pPr>
      <w:r>
        <w:t xml:space="preserve">The Americas were the standout in 1Q: underlying sales rose</w:t>
      </w:r>
      <w:r>
        <w:t xml:space="preserve"> </w:t>
      </w:r>
      <w:r>
        <w:rPr>
          <w:b/>
          <w:bCs/>
        </w:rPr>
        <w:t xml:space="preserve">6%</w:t>
      </w:r>
      <w:r>
        <w:t xml:space="preserve">, comprising</w:t>
      </w:r>
      <w:r>
        <w:t xml:space="preserve"> </w:t>
      </w:r>
      <w:r>
        <w:rPr>
          <w:b/>
          <w:bCs/>
        </w:rPr>
        <w:t xml:space="preserve">4% price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2% volume</w:t>
      </w:r>
      <w:r>
        <w:t xml:space="preserve">, while operating margin reached</w:t>
      </w:r>
      <w:r>
        <w:t xml:space="preserve"> </w:t>
      </w:r>
      <w:r>
        <w:rPr>
          <w:b/>
          <w:bCs/>
        </w:rPr>
        <w:t xml:space="preserve">31.6%</w:t>
      </w:r>
      <w:r>
        <w:t xml:space="preserve">, up 60 basis points year over year.</w:t>
      </w:r>
    </w:p>
    <w:p>
      <w:pPr>
        <w:pStyle w:val="BodyText"/>
      </w:pPr>
      <w:r>
        <w:t xml:space="preserve">Management cited several favorable vectors that should be tested in 2Q: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Chemicals and energy:</w:t>
      </w:r>
      <w:r>
        <w:t xml:space="preserve"> </w:t>
      </w:r>
      <w:r>
        <w:t xml:space="preserve">Better U.S. Gulf Coast refining activity and Latin American upstream-energy demand.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Manufacturing:</w:t>
      </w:r>
      <w:r>
        <w:t xml:space="preserve"> </w:t>
      </w:r>
      <w:r>
        <w:t xml:space="preserve">U.S. packaged-gas growth in the mid-single digits and double-digit hardgoods growth.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Metals and mining:</w:t>
      </w:r>
      <w:r>
        <w:t xml:space="preserve"> </w:t>
      </w:r>
      <w:r>
        <w:t xml:space="preserve">Better regional production economics and protectionist policies supporting localized production.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Commercial space:</w:t>
      </w:r>
      <w:r>
        <w:t xml:space="preserve"> </w:t>
      </w:r>
      <w:r>
        <w:t xml:space="preserve">Strong growth in oxygen, hydrogen, nitrogen, and related infrastructure supporting launch activity.</w:t>
      </w:r>
    </w:p>
    <w:p>
      <w:pPr>
        <w:pStyle w:val="FirstParagraph"/>
      </w:pPr>
      <w:r>
        <w:t xml:space="preserve">The crucial question is whether these conditions are producing</w:t>
      </w:r>
      <w:r>
        <w:t xml:space="preserve"> </w:t>
      </w:r>
      <w:r>
        <w:rPr>
          <w:b/>
          <w:bCs/>
        </w:rPr>
        <w:t xml:space="preserve">base-volume growth</w:t>
      </w:r>
      <w:r>
        <w:t xml:space="preserve">, rather than merely project-startup growth. In 1Q, global reported volume growth was 1%, largely related to projects, though management said base volumes had turned modestly positive.</w:t>
      </w:r>
    </w:p>
    <w:p>
      <w:r>
        <w:pict>
          <v:rect style="width:0;height:1.5pt" o:hralign="center" o:hrstd="t" o:hr="t"/>
        </w:pict>
      </w:r>
    </w:p>
    <w:bookmarkEnd w:id="11"/>
    <w:bookmarkStart w:id="12" w:name="X9665e7c50ccbc31a23129ba0428ba70f175b6bb"/>
    <w:p>
      <w:pPr>
        <w:pStyle w:val="Heading3"/>
      </w:pPr>
      <w:r>
        <w:t xml:space="preserve">3. Helium is potential upside—not embedded in guidance</w:t>
      </w:r>
    </w:p>
    <w:p>
      <w:pPr>
        <w:pStyle w:val="FirstParagraph"/>
      </w:pPr>
      <w:r>
        <w:t xml:space="preserve">Helium may be the most important incremental earnings variable. Management indicated that the FY26 and 2Q outlooks</w:t>
      </w:r>
      <w:r>
        <w:t xml:space="preserve"> </w:t>
      </w:r>
      <w:r>
        <w:rPr>
          <w:b/>
          <w:bCs/>
        </w:rPr>
        <w:t xml:space="preserve">did not assume improvement in helium</w:t>
      </w:r>
      <w:r>
        <w:t xml:space="preserve">, despite global supply disruptions and improving pricing conditions.</w:t>
      </w:r>
    </w:p>
    <w:p>
      <w:pPr>
        <w:pStyle w:val="BodyText"/>
      </w:pPr>
      <w:r>
        <w:t xml:space="preserve">Linde’s priorities are to:</w:t>
      </w:r>
    </w:p>
    <w:p>
      <w:pPr>
        <w:pStyle w:val="Compact"/>
        <w:numPr>
          <w:ilvl w:val="0"/>
          <w:numId w:val="1003"/>
        </w:numPr>
      </w:pPr>
      <w:r>
        <w:t xml:space="preserve">Fulfill existing contractual commitments;</w:t>
      </w:r>
    </w:p>
    <w:p>
      <w:pPr>
        <w:pStyle w:val="Compact"/>
        <w:numPr>
          <w:ilvl w:val="0"/>
          <w:numId w:val="1003"/>
        </w:numPr>
      </w:pPr>
      <w:r>
        <w:t xml:space="preserve">Use excess molecules to secure attractive new multiyear contracts; and</w:t>
      </w:r>
    </w:p>
    <w:p>
      <w:pPr>
        <w:pStyle w:val="Compact"/>
        <w:numPr>
          <w:ilvl w:val="0"/>
          <w:numId w:val="1003"/>
        </w:numPr>
      </w:pPr>
      <w:r>
        <w:t xml:space="preserve">Capture price improvements as contracts reset.</w:t>
      </w:r>
    </w:p>
    <w:p>
      <w:pPr>
        <w:pStyle w:val="FirstParagraph"/>
      </w:pPr>
      <w:r>
        <w:t xml:space="preserve">The company said its helium business is roughly</w:t>
      </w:r>
      <w:r>
        <w:t xml:space="preserve"> </w:t>
      </w:r>
      <w:r>
        <w:rPr>
          <w:b/>
          <w:bCs/>
        </w:rPr>
        <w:t xml:space="preserve">85–90% contracted</w:t>
      </w:r>
      <w:r>
        <w:t xml:space="preserve">, which limits near-term spot-market exposure but provides a route for longer-duration price and volume upside. Investors will look for specifics on:</w:t>
      </w:r>
    </w:p>
    <w:p>
      <w:pPr>
        <w:pStyle w:val="Compact"/>
        <w:numPr>
          <w:ilvl w:val="0"/>
          <w:numId w:val="1004"/>
        </w:numPr>
      </w:pPr>
      <w:r>
        <w:t xml:space="preserve">Recent contract wins and duration;</w:t>
      </w:r>
    </w:p>
    <w:p>
      <w:pPr>
        <w:pStyle w:val="Compact"/>
        <w:numPr>
          <w:ilvl w:val="0"/>
          <w:numId w:val="1004"/>
        </w:numPr>
      </w:pPr>
      <w:r>
        <w:t xml:space="preserve">The scale of excess supply available after serving existing customers;</w:t>
      </w:r>
    </w:p>
    <w:p>
      <w:pPr>
        <w:pStyle w:val="Compact"/>
        <w:numPr>
          <w:ilvl w:val="0"/>
          <w:numId w:val="1004"/>
        </w:numPr>
      </w:pPr>
      <w:r>
        <w:t xml:space="preserve">Price-reset cadence;</w:t>
      </w:r>
    </w:p>
    <w:p>
      <w:pPr>
        <w:pStyle w:val="Compact"/>
        <w:numPr>
          <w:ilvl w:val="0"/>
          <w:numId w:val="1004"/>
        </w:numPr>
      </w:pPr>
      <w:r>
        <w:t xml:space="preserve">Whether the supply disruption is likely to persist long enough to alter FY26 earnings meaningfully.</w:t>
      </w:r>
    </w:p>
    <w:p>
      <w:pPr>
        <w:pStyle w:val="FirstParagraph"/>
      </w:pPr>
      <w:r>
        <w:t xml:space="preserve">A material helium contribution would be particularly constructive because it is not required to achieve current guidance.</w:t>
      </w:r>
    </w:p>
    <w:p>
      <w:r>
        <w:pict>
          <v:rect style="width:0;height:1.5pt" o:hralign="center" o:hrstd="t" o:hr="t"/>
        </w:pict>
      </w:r>
    </w:p>
    <w:bookmarkEnd w:id="12"/>
    <w:bookmarkStart w:id="13" w:name="X832897b2439f6f85cbce5c1930aff79febf02ed"/>
    <w:p>
      <w:pPr>
        <w:pStyle w:val="Heading3"/>
      </w:pPr>
      <w:r>
        <w:t xml:space="preserve">4. Electronics backlog and project awards could support the medium-term growth narrative</w:t>
      </w:r>
    </w:p>
    <w:p>
      <w:pPr>
        <w:pStyle w:val="FirstParagraph"/>
      </w:pPr>
      <w:r>
        <w:t xml:space="preserve">Electronics grew</w:t>
      </w:r>
      <w:r>
        <w:t xml:space="preserve"> </w:t>
      </w:r>
      <w:r>
        <w:rPr>
          <w:b/>
          <w:bCs/>
        </w:rPr>
        <w:t xml:space="preserve">10%</w:t>
      </w:r>
      <w:r>
        <w:t xml:space="preserve"> </w:t>
      </w:r>
      <w:r>
        <w:t xml:space="preserve">in 1Q, supported by advanced-chip investment in the U.S., China, and Korea. Linde is investing more than</w:t>
      </w:r>
      <w:r>
        <w:t xml:space="preserve"> </w:t>
      </w:r>
      <w:r>
        <w:rPr>
          <w:b/>
          <w:bCs/>
        </w:rPr>
        <w:t xml:space="preserve">$1 billion</w:t>
      </w:r>
      <w:r>
        <w:t xml:space="preserve"> </w:t>
      </w:r>
      <w:r>
        <w:t xml:space="preserve">of its project backlog in ultra-high-purity plants for advanced semiconductor fabs.</w:t>
      </w:r>
    </w:p>
    <w:p>
      <w:pPr>
        <w:pStyle w:val="BodyText"/>
      </w:pPr>
      <w:r>
        <w:t xml:space="preserve">At the 1Q call, management expressed high confidence in additional electronics awards during 2026 and suggested sale-of-gas backlog could potentially rise from</w:t>
      </w:r>
      <w:r>
        <w:t xml:space="preserve"> </w:t>
      </w:r>
      <w:r>
        <w:rPr>
          <w:b/>
          <w:bCs/>
        </w:rPr>
        <w:t xml:space="preserve">$7.1 billion</w:t>
      </w:r>
      <w:r>
        <w:t xml:space="preserve"> </w:t>
      </w:r>
      <w:r>
        <w:t xml:space="preserve">to an “8-handle” by year-end. New awards would not necessarily move 2026 EPS materially, but they would reinforce visibility into future growth and capital deployment.</w:t>
      </w:r>
    </w:p>
    <w:p>
      <w:pPr>
        <w:pStyle w:val="BodyText"/>
      </w:pPr>
      <w:r>
        <w:rPr>
          <w:b/>
          <w:bCs/>
        </w:rPr>
        <w:t xml:space="preserve">Key items to watch:</w:t>
      </w:r>
    </w:p>
    <w:p>
      <w:pPr>
        <w:pStyle w:val="Compact"/>
        <w:numPr>
          <w:ilvl w:val="0"/>
          <w:numId w:val="1005"/>
        </w:numPr>
      </w:pPr>
      <w:r>
        <w:t xml:space="preserve">Announced electronics project wins;</w:t>
      </w:r>
    </w:p>
    <w:p>
      <w:pPr>
        <w:pStyle w:val="Compact"/>
        <w:numPr>
          <w:ilvl w:val="0"/>
          <w:numId w:val="1005"/>
        </w:numPr>
      </w:pPr>
      <w:r>
        <w:t xml:space="preserve">Change in the $7.1 billion sale-of-gas backlog;</w:t>
      </w:r>
    </w:p>
    <w:p>
      <w:pPr>
        <w:pStyle w:val="Compact"/>
        <w:numPr>
          <w:ilvl w:val="0"/>
          <w:numId w:val="1005"/>
        </w:numPr>
      </w:pPr>
      <w:r>
        <w:t xml:space="preserve">Project startups and capex conversion;</w:t>
      </w:r>
    </w:p>
    <w:p>
      <w:pPr>
        <w:pStyle w:val="Compact"/>
        <w:numPr>
          <w:ilvl w:val="0"/>
          <w:numId w:val="1005"/>
        </w:numPr>
      </w:pPr>
      <w:r>
        <w:t xml:space="preserve">Commentary on customer spending discipline, especially in AI-led semiconductor capacity additions.</w:t>
      </w:r>
    </w:p>
    <w:p>
      <w:r>
        <w:pict>
          <v:rect style="width:0;height:1.5pt" o:hralign="center" o:hrstd="t" o:hr="t"/>
        </w:pict>
      </w:r>
    </w:p>
    <w:bookmarkEnd w:id="13"/>
    <w:bookmarkStart w:id="14" w:name="X5abdb99b996a7fb58eaae161da264d37213330f"/>
    <w:p>
      <w:pPr>
        <w:pStyle w:val="Heading3"/>
      </w:pPr>
      <w:r>
        <w:t xml:space="preserve">5. EMEA remains the principal offset</w:t>
      </w:r>
    </w:p>
    <w:p>
      <w:pPr>
        <w:pStyle w:val="FirstParagraph"/>
      </w:pPr>
      <w:r>
        <w:t xml:space="preserve">EMEA remains the weak point. In 1Q, underlying sales declined</w:t>
      </w:r>
      <w:r>
        <w:t xml:space="preserve"> </w:t>
      </w:r>
      <w:r>
        <w:rPr>
          <w:b/>
          <w:bCs/>
        </w:rPr>
        <w:t xml:space="preserve">2%</w:t>
      </w:r>
      <w:r>
        <w:t xml:space="preserve">, with 1% price offset by a 3% volume decline. Management attributed the pressure to weak industrial activity, chemical-industry softness, and customers shifting production toward more feedstock-advantaged regions.</w:t>
      </w:r>
    </w:p>
    <w:p>
      <w:pPr>
        <w:pStyle w:val="BodyText"/>
      </w:pPr>
      <w:r>
        <w:t xml:space="preserve">A weak EMEA environment does not necessarily impair Linde’s earnings resilience—its contracts, pricing discipline, and cost actions protect margins better than those of many industrial peers—but it limits the probability of a broad global volume recovery.</w:t>
      </w:r>
    </w:p>
    <w:p>
      <w:pPr>
        <w:pStyle w:val="BodyText"/>
      </w:pPr>
      <w:r>
        <w:t xml:space="preserve">For 2Q, investors should watch:</w:t>
      </w:r>
    </w:p>
    <w:p>
      <w:pPr>
        <w:pStyle w:val="Compact"/>
        <w:numPr>
          <w:ilvl w:val="0"/>
          <w:numId w:val="1006"/>
        </w:numPr>
      </w:pPr>
      <w:r>
        <w:t xml:space="preserve">Whether European industrial-gas volumes stabilize sequentially;</w:t>
      </w:r>
    </w:p>
    <w:p>
      <w:pPr>
        <w:pStyle w:val="Compact"/>
        <w:numPr>
          <w:ilvl w:val="0"/>
          <w:numId w:val="1006"/>
        </w:numPr>
      </w:pPr>
      <w:r>
        <w:t xml:space="preserve">EMEA margin progression after a 1Q decline;</w:t>
      </w:r>
    </w:p>
    <w:p>
      <w:pPr>
        <w:pStyle w:val="Compact"/>
        <w:numPr>
          <w:ilvl w:val="0"/>
          <w:numId w:val="1006"/>
        </w:numPr>
      </w:pPr>
      <w:r>
        <w:t xml:space="preserve">Energy-price volatility and whether surcharges begin to convert to structural pricing;</w:t>
      </w:r>
    </w:p>
    <w:p>
      <w:pPr>
        <w:pStyle w:val="Compact"/>
        <w:numPr>
          <w:ilvl w:val="0"/>
          <w:numId w:val="1006"/>
        </w:numPr>
      </w:pPr>
      <w:r>
        <w:t xml:space="preserve">Whether investment-policy or trade-policy catalysts are improving customer activity.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margin-and-cash-flow-setup"/>
    <w:p>
      <w:pPr>
        <w:pStyle w:val="Heading2"/>
      </w:pPr>
      <w:r>
        <w:t xml:space="preserve">Margin and cash-flow setup</w:t>
      </w:r>
    </w:p>
    <w:p>
      <w:pPr>
        <w:pStyle w:val="FirstParagraph"/>
      </w:pPr>
      <w:r>
        <w:t xml:space="preserve">Linde delivered a</w:t>
      </w:r>
      <w:r>
        <w:t xml:space="preserve"> </w:t>
      </w:r>
      <w:r>
        <w:rPr>
          <w:b/>
          <w:bCs/>
        </w:rPr>
        <w:t xml:space="preserve">30.0% adjusted operating margin</w:t>
      </w:r>
      <w:r>
        <w:t xml:space="preserve"> </w:t>
      </w:r>
      <w:r>
        <w:t xml:space="preserve">in 1Q, essentially flat year over year but up sequentially. Management stated it expects FY26 margin expansion at the upper end of—or potentially above—its typical</w:t>
      </w:r>
      <w:r>
        <w:t xml:space="preserve"> </w:t>
      </w:r>
      <w:r>
        <w:rPr>
          <w:b/>
          <w:bCs/>
        </w:rPr>
        <w:t xml:space="preserve">40–60 basis point</w:t>
      </w:r>
      <w:r>
        <w:t xml:space="preserve"> </w:t>
      </w:r>
      <w:r>
        <w:t xml:space="preserve">range.</w:t>
      </w:r>
    </w:p>
    <w:p>
      <w:pPr>
        <w:pStyle w:val="BodyText"/>
      </w:pPr>
      <w:r>
        <w:t xml:space="preserve">That makes segment mix and productivity especially important: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Americas:</w:t>
      </w:r>
      <w:r>
        <w:t xml:space="preserve"> </w:t>
      </w:r>
      <w:r>
        <w:t xml:space="preserve">Margin strength should remain a tailwind.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APAC:</w:t>
      </w:r>
      <w:r>
        <w:t xml:space="preserve"> </w:t>
      </w:r>
      <w:r>
        <w:t xml:space="preserve">1Q margin was pressured by seasonal effects and lower-margin equipment sales tied to electronics projects; management expects a return toward approximately 29% margins.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EMEA:</w:t>
      </w:r>
      <w:r>
        <w:t xml:space="preserve"> </w:t>
      </w:r>
      <w:r>
        <w:t xml:space="preserve">Volumes remain the primary obstacle to margin improvement.</w:t>
      </w:r>
    </w:p>
    <w:p>
      <w:pPr>
        <w:pStyle w:val="FirstParagraph"/>
      </w:pPr>
      <w:r>
        <w:t xml:space="preserve">Cash flow merits attention because Linde is investing heavily while preserving shareholder returns. FY26 capital expenditures are expected to be</w:t>
      </w:r>
      <w:r>
        <w:t xml:space="preserve"> </w:t>
      </w:r>
      <m:oMath>
        <m:r>
          <m:t>5.0</m:t>
        </m:r>
        <m:r>
          <m:rPr>
            <m:sty m:val="p"/>
          </m:rPr>
          <m:t>–</m:t>
        </m:r>
      </m:oMath>
      <w:r>
        <w:rPr>
          <w:b/>
          <w:bCs/>
        </w:rPr>
        <w:t xml:space="preserve">5.5 billion</w:t>
      </w:r>
      <w:r>
        <w:t xml:space="preserve">, funding maintenance, growth investments, and backlog execution. In 1Q, Linde generated $2.2 billion of operating cash flow and $898 million of free cash flow after $1.34 billion of capex, while returning $1.55 billion through dividends and net buybacks.</w:t>
      </w:r>
    </w:p>
    <w:p>
      <w:pPr>
        <w:pStyle w:val="BodyText"/>
      </w:pPr>
      <w:r>
        <w:t xml:space="preserve">A constructive report would show that elevated project investment is translating into backlog starts, attractive returns, and continued capacity for dividends and repurchases.</w:t>
      </w:r>
    </w:p>
    <w:p>
      <w:r>
        <w:pict>
          <v:rect style="width:0;height:1.5pt" o:hralign="center" o:hrstd="t" o:hr="t"/>
        </w:pict>
      </w:r>
    </w:p>
    <w:bookmarkEnd w:id="16"/>
    <w:bookmarkStart w:id="17" w:name="one-project-timing-issue-woodside"/>
    <w:p>
      <w:pPr>
        <w:pStyle w:val="Heading2"/>
      </w:pPr>
      <w:r>
        <w:t xml:space="preserve">One project-timing issue: Woodside</w:t>
      </w:r>
    </w:p>
    <w:p>
      <w:pPr>
        <w:pStyle w:val="FirstParagraph"/>
      </w:pPr>
      <w:r>
        <w:t xml:space="preserve">Management previously said the Woodside project’s nitrogen component was expected to start during 2026, while the larger hydrogen/ATR and sequestration components had slipped into</w:t>
      </w:r>
      <w:r>
        <w:t xml:space="preserve"> </w:t>
      </w:r>
      <w:r>
        <w:rPr>
          <w:b/>
          <w:bCs/>
        </w:rPr>
        <w:t xml:space="preserve">1Q27</w:t>
      </w:r>
      <w:r>
        <w:t xml:space="preserve"> </w:t>
      </w:r>
      <w:r>
        <w:t xml:space="preserve">because of a difficult U.S. Gulf Coast construction and subcontractor environment.</w:t>
      </w:r>
    </w:p>
    <w:p>
      <w:pPr>
        <w:pStyle w:val="BodyText"/>
      </w:pPr>
      <w:r>
        <w:t xml:space="preserve">This should be treated primarily as a</w:t>
      </w:r>
      <w:r>
        <w:t xml:space="preserve"> </w:t>
      </w:r>
      <w:r>
        <w:rPr>
          <w:b/>
          <w:bCs/>
        </w:rPr>
        <w:t xml:space="preserve">timing issue</w:t>
      </w:r>
      <w:r>
        <w:t xml:space="preserve">, rather than a strategic concern. Still, investors should listen for:</w:t>
      </w:r>
    </w:p>
    <w:p>
      <w:pPr>
        <w:pStyle w:val="Compact"/>
        <w:numPr>
          <w:ilvl w:val="0"/>
          <w:numId w:val="1008"/>
        </w:numPr>
      </w:pPr>
      <w:r>
        <w:t xml:space="preserve">Confirmation of the 2Q nitrogen startup;</w:t>
      </w:r>
    </w:p>
    <w:p>
      <w:pPr>
        <w:pStyle w:val="Compact"/>
        <w:numPr>
          <w:ilvl w:val="0"/>
          <w:numId w:val="1008"/>
        </w:numPr>
      </w:pPr>
      <w:r>
        <w:t xml:space="preserve">Any additional slippage on the larger 1Q27 components;</w:t>
      </w:r>
    </w:p>
    <w:p>
      <w:pPr>
        <w:pStyle w:val="Compact"/>
        <w:numPr>
          <w:ilvl w:val="0"/>
          <w:numId w:val="1008"/>
        </w:numPr>
      </w:pPr>
      <w:r>
        <w:t xml:space="preserve">The expected earnings/cash-flow contribution profile as the facility ramps.</w:t>
      </w:r>
    </w:p>
    <w:p>
      <w:r>
        <w:pict>
          <v:rect style="width:0;height:1.5pt" o:hralign="center" o:hrstd="t" o:hr="t"/>
        </w:pict>
      </w:r>
    </w:p>
    <w:bookmarkEnd w:id="17"/>
    <w:bookmarkStart w:id="18" w:name="earnings-call-checklist"/>
    <w:p>
      <w:pPr>
        <w:pStyle w:val="Heading2"/>
      </w:pPr>
      <w:r>
        <w:t xml:space="preserve">Earnings-call checklist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Did adjusted EPS exceed the</w:t>
      </w:r>
      <w:r>
        <w:rPr>
          <w:b/>
          <w:bCs/>
        </w:rPr>
        <w:t xml:space="preserve"> </w:t>
      </w:r>
      <m:oMath>
        <m:r>
          <m:t>4.40</m:t>
        </m:r>
        <m:r>
          <m:rPr>
            <m:sty m:val="p"/>
          </m:rPr>
          <m:t>–</m:t>
        </m:r>
      </m:oMath>
      <w:r>
        <w:rPr>
          <w:b/>
          <w:bCs/>
        </w:rPr>
        <w:t xml:space="preserve">4.50 range?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Was FY26 EPS guidance raised, narrowed upward, or merely reiterated?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much of growth came from price, base volume, project startups, FX, and acquisitions?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Are Americas volume trends accelerating—and are they broadening beyond a few end markets?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EMEA stabilizing, or is softness worsening?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is the magnitude and timing of helium price/volume upside?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Did Linde announce meaningful electronics awards or backlog growth?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Are margins still on track to expand by at least 40–60 bps for FY26?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Has Woodside timing changed?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capex remain within the</w:t>
      </w:r>
      <w:r>
        <w:rPr>
          <w:b/>
          <w:bCs/>
        </w:rPr>
        <w:t xml:space="preserve"> </w:t>
      </w:r>
      <m:oMath>
        <m:r>
          <m:t>5.0</m:t>
        </m:r>
        <m:r>
          <m:rPr>
            <m:sty m:val="p"/>
          </m:rPr>
          <m:t>–</m:t>
        </m:r>
      </m:oMath>
      <w:r>
        <w:rPr>
          <w:b/>
          <w:bCs/>
        </w:rPr>
        <w:t xml:space="preserve">5.5 billion FY26 plan, with free-cash-flow conversion intact?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Linde does not need a dramatic macro recovery to produce a good quarter. Its current guidance explicitly assumes</w:t>
      </w:r>
      <w:r>
        <w:t xml:space="preserve"> </w:t>
      </w:r>
      <w:r>
        <w:rPr>
          <w:b/>
          <w:bCs/>
        </w:rPr>
        <w:t xml:space="preserve">no economic improvement at the midpoint</w:t>
      </w:r>
      <w:r>
        <w:t xml:space="preserve">, while helium upside is excluded. The more favorable 2Q setup rests on solid Americas activity, disciplined pricing and productivity, electronics investment, project execution, and potential helium benefits.</w:t>
      </w:r>
    </w:p>
    <w:p>
      <w:pPr>
        <w:pStyle w:val="BodyText"/>
      </w:pPr>
      <w:r>
        <w:t xml:space="preserve">The strongest outcome would be an above-range EPS result paired with a</w:t>
      </w:r>
      <w:r>
        <w:t xml:space="preserve"> </w:t>
      </w:r>
      <w:r>
        <w:rPr>
          <w:b/>
          <w:bCs/>
        </w:rPr>
        <w:t xml:space="preserve">higher FY26 guide</w:t>
      </w:r>
      <w:r>
        <w:t xml:space="preserve">, improved confidence in Americas base volumes, confirmation of electronics backlog growth, and quantifiable helium upside. The main risk is that persistent EMEA weakness, project timing, or a cautious global-demand outlook prevents management from moving beyond a “meet-and-maintain” guidance posture.</w:t>
      </w:r>
    </w:p>
    <w:p>
      <w:pPr>
        <w:pStyle w:val="BodyText"/>
      </w:pPr>
      <w:r>
        <w:rPr>
          <w:i/>
          <w:iCs/>
        </w:rPr>
        <w:t xml:space="preserve">Not investment advice.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2026-07-31T00:17:18Z</dcterms:created>
  <dcterms:modified xsi:type="dcterms:W3CDTF">2026-07-31T00:17:18Z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