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Linde plc (LIN)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Linde plc</w:t>
            </w:r>
          </w:p>
        </w:tc>
      </w:tr>
      <w:tr>
        <w:tc>
          <w:tcPr>
            <w:tcW w:type="dxa" w:w="4320"/>
          </w:tcPr>
          <w:p>
            <w:r>
              <w:rPr>
                <w:rFonts w:ascii="Calibri" w:hAnsi="Calibri"/>
                <w:b/>
                <w:sz w:val="22"/>
              </w:rPr>
              <w:t>Ticker</w:t>
            </w:r>
          </w:p>
        </w:tc>
        <w:tc>
          <w:tcPr>
            <w:tcW w:type="dxa" w:w="4320"/>
          </w:tcPr>
          <w:p>
            <w:r>
              <w:rPr>
                <w:rFonts w:ascii="Calibri" w:hAnsi="Calibri"/>
                <w:sz w:val="22"/>
              </w:rPr>
              <w:t>NASDAQ: LIN</w:t>
            </w:r>
          </w:p>
        </w:tc>
      </w:tr>
      <w:tr>
        <w:tc>
          <w:tcPr>
            <w:tcW w:type="dxa" w:w="4320"/>
          </w:tcPr>
          <w:p>
            <w:r>
              <w:rPr>
                <w:rFonts w:ascii="Calibri" w:hAnsi="Calibri"/>
                <w:b/>
                <w:sz w:val="22"/>
              </w:rPr>
              <w:t>Upcoming Earnings Date</w:t>
            </w:r>
          </w:p>
        </w:tc>
        <w:tc>
          <w:tcPr>
            <w:tcW w:type="dxa" w:w="4320"/>
          </w:tcPr>
          <w:p>
            <w:r>
              <w:rPr>
                <w:rFonts w:ascii="Calibri" w:hAnsi="Calibri"/>
                <w:sz w:val="22"/>
              </w:rPr>
              <w:t>July 31, 2026 (Before Market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30, 2026</w:t>
            </w:r>
          </w:p>
        </w:tc>
      </w:tr>
      <w:tr>
        <w:tc>
          <w:tcPr>
            <w:tcW w:type="dxa" w:w="4320"/>
          </w:tcPr>
          <w:p>
            <w:r>
              <w:rPr>
                <w:rFonts w:ascii="Calibri" w:hAnsi="Calibri"/>
                <w:b/>
                <w:sz w:val="22"/>
              </w:rPr>
              <w:t>Last Earnings</w:t>
            </w:r>
          </w:p>
        </w:tc>
        <w:tc>
          <w:tcPr>
            <w:tcW w:type="dxa" w:w="4320"/>
          </w:tcPr>
          <w:p>
            <w:r>
              <w:rPr>
                <w:rFonts w:ascii="Calibri" w:hAnsi="Calibri"/>
                <w:sz w:val="22"/>
              </w:rPr>
              <w:t>May 1,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balanced-to-slightly-positive — consensus sits just above the guidance midpoint and LIN has beaten EPS in every one of the last eight quarters, but the stock has already given back its post-Q1 helium-driven spike and trades roughly flat since last earnings, suggesting the bar is not stretched. The single biggest swing factor is </w:t>
      </w:r>
      <w:r>
        <w:rPr>
          <w:rFonts w:ascii="Calibri" w:hAnsi="Calibri"/>
          <w:b/>
          <w:color w:val="525866"/>
          <w:sz w:val="22"/>
        </w:rPr>
        <w:t>helium pricing and volume upside</w:t>
      </w:r>
      <w:r>
        <w:rPr>
          <w:rFonts w:ascii="Calibri" w:hAnsi="Calibri"/>
          <w:color w:val="525866"/>
          <w:sz w:val="22"/>
        </w:rPr>
        <w:t>, which management has deliberately excluded from guidance and which could meaningfully surprise to the upside.</w:t>
      </w:r>
    </w:p>
    <w:p>
      <w:r>
        <w:rPr>
          <w:rFonts w:ascii="Calibri" w:hAnsi="Calibri"/>
          <w:color w:val="525866"/>
          <w:sz w:val="22"/>
        </w:rPr>
        <w:t xml:space="preserve">Heading into Q2 2026, the setup for Linde is modestly constructive. Consensus EPS of $4.48 sits just $0.03 above the guidance midpoint of $4.45 ($4.40–$4.50), a thin cushion that leaves room for the company's typical 1–2% beat without requiring heroics. Management's posture on the Q1 call was deliberately cautious — raising only the bottom end of full-year guidance and explicitly citing geopolitical uncertainty as the reason for holding the top end — yet the underlying business delivered 30% operating margins and positive base volume growth for the first time in several years. Estimate revisions have been essentially flat since the Q1 print, with both Q2 and FY2026 EPS consensus unchanged at $4.48 and $17.86 respectively, suggesting the Street has taken management's conservative framing at face value rather than chasing upside. The stock has underperformed both the S&amp;P 500 (+2.9%) and the XLB materials ETF (+0.6%) since the May 1 earnings date, briefly spiking ~7.6% in early July on helium shortage headlines before fully retracing — a pattern that implies the market is not pricing in a meaningful helium windfall. The key wildcard is </w:t>
      </w:r>
    </w:p>
    <w:p>
      <w:r>
        <w:rPr>
          <w:rFonts w:ascii="Calibri" w:hAnsi="Calibri"/>
          <w:b/>
          <w:color w:val="525866"/>
          <w:sz w:val="22"/>
        </w:rPr>
        <w:t>helium</w:t>
      </w:r>
      <w:r>
        <w:rPr>
          <w:rFonts w:ascii="Calibri" w:hAnsi="Calibri"/>
          <w:color w:val="525866"/>
          <w:sz w:val="22"/>
        </w:rPr>
        <w:t>: with China, Russia, and Qatar export disruptions creating acute global shortages and Bernstein raising its price target to $599 specifically citing the AI supply chain angle, any incremental color on helium contract signings or pricing trajectory could be the decisive catalyst for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EPS of $4.48 represents a modest but achievable bar — LIN has beaten EPS in all eight of the last eight quarters. </w:t>
      </w:r>
      <w:r>
        <w:rPr>
          <w:rFonts w:ascii="Calibri" w:hAnsi="Calibri"/>
          <w:b/>
          <w:color w:val="525866"/>
          <w:sz w:val="22"/>
        </w:rPr>
        <w:t>Revenue is the bigger swing factor</w:t>
      </w:r>
      <w:r>
        <w:rPr>
          <w:rFonts w:ascii="Calibri" w:hAnsi="Calibri"/>
          <w:color w:val="525866"/>
          <w:sz w:val="22"/>
        </w:rPr>
        <w:t>, where LIN has been more inconsistent, though the Q1 2026 beat of +2.3% suggests underlying demand is firming.</w:t>
      </w:r>
    </w:p>
    <w:p>
      <w:pPr>
        <w:pStyle w:val="Heading3"/>
      </w:pPr>
      <w:r>
        <w:rPr>
          <w:rFonts w:ascii="Calibri" w:hAnsi="Calibri"/>
          <w:b/>
          <w:color w:val="3B4259"/>
          <w:sz w:val="24"/>
        </w:rPr>
        <w:t>Table 1 — Q2 2026 Current Quarter Snapshot</w:t>
      </w:r>
    </w:p>
    <w:p>
      <w:r>
        <w:rPr>
          <w:rFonts w:ascii="Calibri" w:hAnsi="Calibri"/>
          <w:color w:val="525866"/>
          <w:sz w:val="22"/>
        </w:rPr>
        <w:t>Source: Visible Alpha Consensus and Actuals Data; LIN Q1 2026 Earnings Call (May 1, 2026).</w:t>
      </w:r>
    </w:p>
    <w:p>
      <w:pPr>
        <w:pStyle w:val="Heading3"/>
      </w:pPr>
      <w:r>
        <w:rPr>
          <w:rFonts w:ascii="Calibri" w:hAnsi="Calibri"/>
          <w:b/>
          <w:color w:val="3B4259"/>
          <w:sz w:val="24"/>
        </w:rPr>
        <w:t>Table 2A — Beat/Miss History: Adjusted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$3.85</w:t>
            </w:r>
          </w:p>
        </w:tc>
        <w:tc>
          <w:tcPr>
            <w:tcW w:type="dxa" w:w="1728"/>
          </w:tcPr>
          <w:p>
            <w:r>
              <w:rPr>
                <w:rFonts w:ascii="Calibri" w:hAnsi="Calibri"/>
                <w:sz w:val="22"/>
              </w:rPr>
              <w:t>$3.79</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$3.94</w:t>
            </w:r>
          </w:p>
        </w:tc>
        <w:tc>
          <w:tcPr>
            <w:tcW w:type="dxa" w:w="1728"/>
          </w:tcPr>
          <w:p>
            <w:r>
              <w:rPr>
                <w:rFonts w:ascii="Calibri" w:hAnsi="Calibri"/>
                <w:sz w:val="22"/>
              </w:rPr>
              <w:t>$3.92</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$3.97</w:t>
            </w:r>
          </w:p>
        </w:tc>
        <w:tc>
          <w:tcPr>
            <w:tcW w:type="dxa" w:w="1728"/>
          </w:tcPr>
          <w:p>
            <w:r>
              <w:rPr>
                <w:rFonts w:ascii="Calibri" w:hAnsi="Calibri"/>
                <w:sz w:val="22"/>
              </w:rPr>
              <w:t>$3.93</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$3.95</w:t>
            </w:r>
          </w:p>
        </w:tc>
        <w:tc>
          <w:tcPr>
            <w:tcW w:type="dxa" w:w="1728"/>
          </w:tcPr>
          <w:p>
            <w:r>
              <w:rPr>
                <w:rFonts w:ascii="Calibri" w:hAnsi="Calibri"/>
                <w:sz w:val="22"/>
              </w:rPr>
              <w:t>$3.93</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$4.09</w:t>
            </w:r>
          </w:p>
        </w:tc>
        <w:tc>
          <w:tcPr>
            <w:tcW w:type="dxa" w:w="1728"/>
          </w:tcPr>
          <w:p>
            <w:r>
              <w:rPr>
                <w:rFonts w:ascii="Calibri" w:hAnsi="Calibri"/>
                <w:sz w:val="22"/>
              </w:rPr>
              <w:t>$4.03</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$4.21</w:t>
            </w:r>
          </w:p>
        </w:tc>
        <w:tc>
          <w:tcPr>
            <w:tcW w:type="dxa" w:w="1728"/>
          </w:tcPr>
          <w:p>
            <w:r>
              <w:rPr>
                <w:rFonts w:ascii="Calibri" w:hAnsi="Calibri"/>
                <w:sz w:val="22"/>
              </w:rPr>
              <w:t>$4.21</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Q4 2025</w:t>
            </w:r>
          </w:p>
        </w:tc>
        <w:tc>
          <w:tcPr>
            <w:tcW w:type="dxa" w:w="1728"/>
          </w:tcPr>
          <w:p>
            <w:r>
              <w:rPr>
                <w:rFonts w:ascii="Calibri" w:hAnsi="Calibri"/>
                <w:sz w:val="22"/>
              </w:rPr>
              <w:t>$4.20</w:t>
            </w:r>
          </w:p>
        </w:tc>
        <w:tc>
          <w:tcPr>
            <w:tcW w:type="dxa" w:w="1728"/>
          </w:tcPr>
          <w:p>
            <w:r>
              <w:rPr>
                <w:rFonts w:ascii="Calibri" w:hAnsi="Calibri"/>
                <w:sz w:val="22"/>
              </w:rPr>
              <w:t>$4.18</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$4.33</w:t>
            </w:r>
          </w:p>
        </w:tc>
        <w:tc>
          <w:tcPr>
            <w:tcW w:type="dxa" w:w="1728"/>
          </w:tcPr>
          <w:p>
            <w:r>
              <w:rPr>
                <w:rFonts w:ascii="Calibri" w:hAnsi="Calibri"/>
                <w:sz w:val="22"/>
              </w:rPr>
              <w:t>$4.26</w:t>
            </w:r>
          </w:p>
        </w:tc>
        <w:tc>
          <w:tcPr>
            <w:tcW w:type="dxa" w:w="1728"/>
          </w:tcPr>
          <w:p>
            <w:r>
              <w:rPr>
                <w:rFonts w:ascii="Calibri" w:hAnsi="Calibri"/>
                <w:sz w:val="22"/>
              </w:rPr>
              <w:t>+1.6%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LIN has beaten or matched EPS consensus in all 8 of the last 8 quarters, with beats typically in the +0.5–1.6% range — a consistent but not dramatic outperformance cadence driven primarily by FX tailwinds and management actions on pricing and cost productivity. Source: Visible Alpha Consensus and Actuals Data.</w:t>
      </w:r>
    </w:p>
    <w:p>
      <w:pPr>
        <w:pStyle w:val="Heading3"/>
      </w:pPr>
      <w:r>
        <w:rPr>
          <w:rFonts w:ascii="Calibri" w:hAnsi="Calibri"/>
          <w:b/>
          <w:color w:val="3B4259"/>
          <w:sz w:val="24"/>
        </w:rPr>
        <w:t>Table 2B — Beat/Miss History: Total Revenue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$8.267B</w:t>
            </w:r>
          </w:p>
        </w:tc>
        <w:tc>
          <w:tcPr>
            <w:tcW w:type="dxa" w:w="1728"/>
          </w:tcPr>
          <w:p>
            <w:r>
              <w:rPr>
                <w:rFonts w:ascii="Calibri" w:hAnsi="Calibri"/>
                <w:sz w:val="22"/>
              </w:rPr>
              <w:t>$8.289B</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$8.356B</w:t>
            </w:r>
          </w:p>
        </w:tc>
        <w:tc>
          <w:tcPr>
            <w:tcW w:type="dxa" w:w="1728"/>
          </w:tcPr>
          <w:p>
            <w:r>
              <w:rPr>
                <w:rFonts w:ascii="Calibri" w:hAnsi="Calibri"/>
                <w:sz w:val="22"/>
              </w:rPr>
              <w:t>$8.351B</w:t>
            </w:r>
          </w:p>
        </w:tc>
        <w:tc>
          <w:tcPr>
            <w:tcW w:type="dxa" w:w="1728"/>
          </w:tcPr>
          <w:p>
            <w:r>
              <w:rPr>
                <w:rFonts w:ascii="Calibri" w:hAnsi="Calibri"/>
                <w:sz w:val="22"/>
              </w:rPr>
              <w:t>+0.1%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$8.282B</w:t>
            </w:r>
          </w:p>
        </w:tc>
        <w:tc>
          <w:tcPr>
            <w:tcW w:type="dxa" w:w="1728"/>
          </w:tcPr>
          <w:p>
            <w:r>
              <w:rPr>
                <w:rFonts w:ascii="Calibri" w:hAnsi="Calibri"/>
                <w:sz w:val="22"/>
              </w:rPr>
              <w:t>$8.376B</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$8.112B</w:t>
            </w:r>
          </w:p>
        </w:tc>
        <w:tc>
          <w:tcPr>
            <w:tcW w:type="dxa" w:w="1728"/>
          </w:tcPr>
          <w:p>
            <w:r>
              <w:rPr>
                <w:rFonts w:ascii="Calibri" w:hAnsi="Calibri"/>
                <w:sz w:val="22"/>
              </w:rPr>
              <w:t>$8.199B</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$8.495B</w:t>
            </w:r>
          </w:p>
        </w:tc>
        <w:tc>
          <w:tcPr>
            <w:tcW w:type="dxa" w:w="1728"/>
          </w:tcPr>
          <w:p>
            <w:r>
              <w:rPr>
                <w:rFonts w:ascii="Calibri" w:hAnsi="Calibri"/>
                <w:sz w:val="22"/>
              </w:rPr>
              <w:t>$8.350B</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$8.615B</w:t>
            </w:r>
          </w:p>
        </w:tc>
        <w:tc>
          <w:tcPr>
            <w:tcW w:type="dxa" w:w="1728"/>
          </w:tcPr>
          <w:p>
            <w:r>
              <w:rPr>
                <w:rFonts w:ascii="Calibri" w:hAnsi="Calibri"/>
                <w:sz w:val="22"/>
              </w:rPr>
              <w:t>$8.616B</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Q4 2025</w:t>
            </w:r>
          </w:p>
        </w:tc>
        <w:tc>
          <w:tcPr>
            <w:tcW w:type="dxa" w:w="1728"/>
          </w:tcPr>
          <w:p>
            <w:r>
              <w:rPr>
                <w:rFonts w:ascii="Calibri" w:hAnsi="Calibri"/>
                <w:sz w:val="22"/>
              </w:rPr>
              <w:t>$8.764B</w:t>
            </w:r>
          </w:p>
        </w:tc>
        <w:tc>
          <w:tcPr>
            <w:tcW w:type="dxa" w:w="1728"/>
          </w:tcPr>
          <w:p>
            <w:r>
              <w:rPr>
                <w:rFonts w:ascii="Calibri" w:hAnsi="Calibri"/>
                <w:sz w:val="22"/>
              </w:rPr>
              <w:t>$8.679B</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$8.781B</w:t>
            </w:r>
          </w:p>
        </w:tc>
        <w:tc>
          <w:tcPr>
            <w:tcW w:type="dxa" w:w="1728"/>
          </w:tcPr>
          <w:p>
            <w:r>
              <w:rPr>
                <w:rFonts w:ascii="Calibri" w:hAnsi="Calibri"/>
                <w:sz w:val="22"/>
              </w:rPr>
              <w:t>$8.583B</w:t>
            </w:r>
          </w:p>
        </w:tc>
        <w:tc>
          <w:tcPr>
            <w:tcW w:type="dxa" w:w="1728"/>
          </w:tcPr>
          <w:p>
            <w:r>
              <w:rPr>
                <w:rFonts w:ascii="Calibri" w:hAnsi="Calibri"/>
                <w:sz w:val="22"/>
              </w:rPr>
              <w:t>+2.3%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Revenue is less consistent than EPS — LIN missed in 3 of the last 8 quarters, with misses concentrated in periods of FX headwinds and weak European industrial demand. The recent trend has improved sharply, with the last three quarters all beating or matching, driven by FX tailwinds and firming volumes. Source: Visible Alpha Consensus and Actuals Data.</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 Mid (%)</w:t>
            </w:r>
          </w:p>
        </w:tc>
      </w:tr>
      <w:tr>
        <w:tc>
          <w:tcPr>
            <w:tcW w:type="dxa" w:w="1234"/>
          </w:tcPr>
          <w:p>
            <w:r>
              <w:rPr>
                <w:rFonts w:ascii="Calibri" w:hAnsi="Calibri"/>
                <w:sz w:val="22"/>
              </w:rPr>
              <w:t>Adj. EPS (Diluted)</w:t>
            </w:r>
          </w:p>
        </w:tc>
        <w:tc>
          <w:tcPr>
            <w:tcW w:type="dxa" w:w="1234"/>
          </w:tcPr>
          <w:p>
            <w:r>
              <w:rPr>
                <w:rFonts w:ascii="Calibri" w:hAnsi="Calibri"/>
                <w:sz w:val="22"/>
              </w:rPr>
              <w:t>$4.33</w:t>
            </w:r>
          </w:p>
        </w:tc>
        <w:tc>
          <w:tcPr>
            <w:tcW w:type="dxa" w:w="1234"/>
          </w:tcPr>
          <w:p>
            <w:r>
              <w:rPr>
                <w:rFonts w:ascii="Calibri" w:hAnsi="Calibri"/>
                <w:sz w:val="22"/>
              </w:rPr>
              <w:t>$4.09</w:t>
            </w:r>
          </w:p>
        </w:tc>
        <w:tc>
          <w:tcPr>
            <w:tcW w:type="dxa" w:w="1234"/>
          </w:tcPr>
          <w:p>
            <w:r>
              <w:rPr>
                <w:rFonts w:ascii="Calibri" w:hAnsi="Calibri"/>
                <w:sz w:val="22"/>
              </w:rPr>
              <w:t>$4.48</w:t>
            </w:r>
          </w:p>
        </w:tc>
        <w:tc>
          <w:tcPr>
            <w:tcW w:type="dxa" w:w="1234"/>
          </w:tcPr>
          <w:p>
            <w:r>
              <w:rPr>
                <w:rFonts w:ascii="Calibri" w:hAnsi="Calibri"/>
                <w:b/>
                <w:color w:val="30A46C"/>
                <w:sz w:val="22"/>
              </w:rPr>
              <w:t>+9.5%</w:t>
            </w:r>
          </w:p>
        </w:tc>
        <w:tc>
          <w:tcPr>
            <w:tcW w:type="dxa" w:w="1234"/>
          </w:tcPr>
          <w:p>
            <w:r>
              <w:rPr>
                <w:rFonts w:ascii="Calibri" w:hAnsi="Calibri"/>
                <w:sz w:val="22"/>
              </w:rPr>
              <w:t>$4.40–$4.50 (mid $4.45)</w:t>
            </w:r>
          </w:p>
        </w:tc>
        <w:tc>
          <w:tcPr>
            <w:tcW w:type="dxa" w:w="1234"/>
          </w:tcPr>
          <w:p>
            <w:r>
              <w:rPr>
                <w:rFonts w:ascii="Calibri" w:hAnsi="Calibri"/>
                <w:sz w:val="22"/>
              </w:rPr>
              <w:t>+0.7%</w:t>
            </w:r>
          </w:p>
        </w:tc>
      </w:tr>
      <w:tr>
        <w:tc>
          <w:tcPr>
            <w:tcW w:type="dxa" w:w="1234"/>
          </w:tcPr>
          <w:p>
            <w:r>
              <w:rPr>
                <w:rFonts w:ascii="Calibri" w:hAnsi="Calibri"/>
                <w:sz w:val="22"/>
              </w:rPr>
              <w:t>Total Revenue</w:t>
            </w:r>
          </w:p>
        </w:tc>
        <w:tc>
          <w:tcPr>
            <w:tcW w:type="dxa" w:w="1234"/>
          </w:tcPr>
          <w:p>
            <w:r>
              <w:rPr>
                <w:rFonts w:ascii="Calibri" w:hAnsi="Calibri"/>
                <w:sz w:val="22"/>
              </w:rPr>
              <w:t>$8.781B</w:t>
            </w:r>
          </w:p>
        </w:tc>
        <w:tc>
          <w:tcPr>
            <w:tcW w:type="dxa" w:w="1234"/>
          </w:tcPr>
          <w:p>
            <w:r>
              <w:rPr>
                <w:rFonts w:ascii="Calibri" w:hAnsi="Calibri"/>
                <w:sz w:val="22"/>
              </w:rPr>
              <w:t>$8.495B</w:t>
            </w:r>
          </w:p>
        </w:tc>
        <w:tc>
          <w:tcPr>
            <w:tcW w:type="dxa" w:w="1234"/>
          </w:tcPr>
          <w:p>
            <w:r>
              <w:rPr>
                <w:rFonts w:ascii="Calibri" w:hAnsi="Calibri"/>
                <w:sz w:val="22"/>
              </w:rPr>
              <w:t>$9.012B</w:t>
            </w:r>
          </w:p>
        </w:tc>
        <w:tc>
          <w:tcPr>
            <w:tcW w:type="dxa" w:w="1234"/>
          </w:tcPr>
          <w:p>
            <w:r>
              <w:rPr>
                <w:rFonts w:ascii="Calibri" w:hAnsi="Calibri"/>
                <w:b/>
                <w:color w:val="30A46C"/>
                <w:sz w:val="22"/>
              </w:rPr>
              <w:t>+6.1%</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Operating Profit (Adj.)</w:t>
            </w:r>
          </w:p>
        </w:tc>
        <w:tc>
          <w:tcPr>
            <w:tcW w:type="dxa" w:w="1234"/>
          </w:tcPr>
          <w:p>
            <w:r>
              <w:rPr>
                <w:rFonts w:ascii="Calibri" w:hAnsi="Calibri"/>
                <w:sz w:val="22"/>
              </w:rPr>
              <w:t>$2.630B</w:t>
            </w:r>
          </w:p>
        </w:tc>
        <w:tc>
          <w:tcPr>
            <w:tcW w:type="dxa" w:w="1234"/>
          </w:tcPr>
          <w:p>
            <w:r>
              <w:rPr>
                <w:rFonts w:ascii="Calibri" w:hAnsi="Calibri"/>
                <w:sz w:val="22"/>
              </w:rPr>
              <w:t>$2.556B</w:t>
            </w:r>
          </w:p>
        </w:tc>
        <w:tc>
          <w:tcPr>
            <w:tcW w:type="dxa" w:w="1234"/>
          </w:tcPr>
          <w:p>
            <w:r>
              <w:rPr>
                <w:rFonts w:ascii="Calibri" w:hAnsi="Calibri"/>
                <w:sz w:val="22"/>
              </w:rPr>
              <w:t>$2.723B</w:t>
            </w:r>
          </w:p>
        </w:tc>
        <w:tc>
          <w:tcPr>
            <w:tcW w:type="dxa" w:w="1234"/>
          </w:tcPr>
          <w:p>
            <w:r>
              <w:rPr>
                <w:rFonts w:ascii="Calibri" w:hAnsi="Calibri"/>
                <w:b/>
                <w:color w:val="30A46C"/>
                <w:sz w:val="22"/>
              </w:rPr>
              <w:t>+6.5%</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Operating Margin (Adj.)</w:t>
            </w:r>
          </w:p>
        </w:tc>
        <w:tc>
          <w:tcPr>
            <w:tcW w:type="dxa" w:w="1234"/>
          </w:tcPr>
          <w:p>
            <w:r>
              <w:rPr>
                <w:rFonts w:ascii="Calibri" w:hAnsi="Calibri"/>
                <w:sz w:val="22"/>
              </w:rPr>
              <w:t>30.0%</w:t>
            </w:r>
          </w:p>
        </w:tc>
        <w:tc>
          <w:tcPr>
            <w:tcW w:type="dxa" w:w="1234"/>
          </w:tcPr>
          <w:p>
            <w:r>
              <w:rPr>
                <w:rFonts w:ascii="Calibri" w:hAnsi="Calibri"/>
                <w:sz w:val="22"/>
              </w:rPr>
              <w:t>30.1%</w:t>
            </w:r>
          </w:p>
        </w:tc>
        <w:tc>
          <w:tcPr>
            <w:tcW w:type="dxa" w:w="1234"/>
          </w:tcPr>
          <w:p>
            <w:r>
              <w:rPr>
                <w:rFonts w:ascii="Calibri" w:hAnsi="Calibri"/>
                <w:sz w:val="22"/>
              </w:rPr>
              <w:t>~30.2%</w:t>
            </w:r>
          </w:p>
        </w:tc>
        <w:tc>
          <w:tcPr>
            <w:tcW w:type="dxa" w:w="1234"/>
          </w:tcPr>
          <w:p>
            <w:r>
              <w:rPr>
                <w:rFonts w:ascii="Calibri" w:hAnsi="Calibri"/>
                <w:sz w:val="22"/>
              </w:rPr>
              <w:t>~flat YoY</w:t>
            </w:r>
          </w:p>
        </w:tc>
        <w:tc>
          <w:tcPr>
            <w:tcW w:type="dxa" w:w="1234"/>
          </w:tcPr>
          <w:p>
            <w:r>
              <w:rPr>
                <w:rFonts w:ascii="Calibri" w:hAnsi="Calibri"/>
                <w:sz w:val="22"/>
              </w:rPr>
              <w:t>Upper end / above 40–60bps expansion (FY)</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$0.898B</w:t>
            </w:r>
          </w:p>
        </w:tc>
        <w:tc>
          <w:tcPr>
            <w:tcW w:type="dxa" w:w="1234"/>
          </w:tcPr>
          <w:p>
            <w:r>
              <w:rPr>
                <w:rFonts w:ascii="Calibri" w:hAnsi="Calibri"/>
                <w:sz w:val="22"/>
              </w:rPr>
              <w:t>$0.954B</w:t>
            </w:r>
          </w:p>
        </w:tc>
        <w:tc>
          <w:tcPr>
            <w:tcW w:type="dxa" w:w="1234"/>
          </w:tcPr>
          <w:p>
            <w:r>
              <w:rPr>
                <w:rFonts w:ascii="Calibri" w:hAnsi="Calibri"/>
                <w:sz w:val="22"/>
              </w:rPr>
              <w:t>$1.658B</w:t>
            </w:r>
          </w:p>
        </w:tc>
        <w:tc>
          <w:tcPr>
            <w:tcW w:type="dxa" w:w="1234"/>
          </w:tcPr>
          <w:p>
            <w:r>
              <w:rPr>
                <w:rFonts w:ascii="Calibri" w:hAnsi="Calibri"/>
                <w:sz w:val="22"/>
              </w:rPr>
              <w:t>+73.8%</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Sale of Gas Backlog</w:t>
            </w:r>
          </w:p>
        </w:tc>
        <w:tc>
          <w:tcPr>
            <w:tcW w:type="dxa" w:w="1234"/>
          </w:tcPr>
          <w:p>
            <w:r>
              <w:rPr>
                <w:rFonts w:ascii="Calibri" w:hAnsi="Calibri"/>
                <w:sz w:val="22"/>
              </w:rPr>
              <w:t>$7.1B (Q1 2026 end)</w:t>
            </w:r>
          </w:p>
        </w:tc>
        <w:tc>
          <w:tcPr>
            <w:tcW w:type="dxa" w:w="1234"/>
          </w:tcPr>
          <w:p>
            <w:r>
              <w:rPr>
                <w:rFonts w:ascii="Calibri" w:hAnsi="Calibri"/>
                <w:sz w:val="22"/>
              </w:rPr>
              <w:t>$7.1B (Q2 2025 end)</w:t>
            </w:r>
          </w:p>
        </w:tc>
        <w:tc>
          <w:tcPr>
            <w:tcW w:type="dxa" w:w="1234"/>
          </w:tcPr>
          <w:p>
            <w:r>
              <w:rPr>
                <w:rFonts w:ascii="Calibri" w:hAnsi="Calibri"/>
                <w:sz w:val="22"/>
              </w:rPr>
              <w:t>N/A — not in VA</w:t>
            </w:r>
          </w:p>
        </w:tc>
        <w:tc>
          <w:tcPr>
            <w:tcW w:type="dxa" w:w="1234"/>
          </w:tcPr>
          <w:p>
            <w:r>
              <w:rPr>
                <w:rFonts w:ascii="Calibri" w:hAnsi="Calibri"/>
                <w:sz w:val="22"/>
              </w:rPr>
              <w:t>Flat YoY; mgmt targets ≥8B by year-end</w:t>
            </w:r>
          </w:p>
        </w:tc>
        <w:tc>
          <w:tcPr>
            <w:tcW w:type="dxa" w:w="1234"/>
          </w:tcPr>
          <w:p>
            <w:r>
              <w:rPr>
                <w:rFonts w:ascii="Calibri" w:hAnsi="Calibri"/>
                <w:sz w:val="22"/>
              </w:rPr>
              <w:t>Mgmt: potential “8-handle” by year-end</w:t>
            </w:r>
          </w:p>
        </w:tc>
        <w:tc>
          <w:tcPr>
            <w:tcW w:type="dxa" w:w="1234"/>
          </w:tcPr>
          <w:p>
            <w:r>
              <w:rPr>
                <w:rFonts w:ascii="Calibri" w:hAnsi="Calibri"/>
                <w:sz w:val="22"/>
              </w:rPr>
              <w:t>N/A</w:t>
            </w:r>
          </w:p>
        </w:tc>
      </w:tr>
    </w:tbl>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represents a </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guidance revisions since the Q1 2026 earnings call on May 1, 2026 — the Q2 EPS range of $4.40–$4.50 and FY2026 range of $17.60–$17.90 remain intact. Management's tone is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w:t>
            </w:r>
          </w:p>
        </w:tc>
        <w:tc>
          <w:tcPr>
            <w:tcW w:type="dxa" w:w="1728"/>
          </w:tcPr>
          <w:p>
            <w:r>
              <w:rPr>
                <w:rFonts w:ascii="Calibri" w:hAnsi="Calibri"/>
                <w:sz w:val="22"/>
              </w:rPr>
              <w:t>$4.40–$4.50 (8–10% YoY growth); includes 1% FX benefit; assumes no economic improvement at midpoint</w:t>
            </w:r>
          </w:p>
        </w:tc>
        <w:tc>
          <w:tcPr>
            <w:tcW w:type="dxa" w:w="1728"/>
          </w:tcPr>
          <w:p>
            <w:r>
              <w:rPr>
                <w:rFonts w:ascii="Calibri" w:hAnsi="Calibri"/>
                <w:sz w:val="22"/>
              </w:rPr>
              <w:t>—</w:t>
            </w:r>
          </w:p>
        </w:tc>
        <w:tc>
          <w:tcPr>
            <w:tcW w:type="dxa" w:w="1728"/>
          </w:tcPr>
          <w:p>
            <w:r>
              <w:rPr>
                <w:rFonts w:ascii="Calibri" w:hAnsi="Calibri"/>
                <w:sz w:val="22"/>
              </w:rPr>
              <w:t>$4.48</w:t>
            </w:r>
          </w:p>
        </w:tc>
        <w:tc>
          <w:tcPr>
            <w:tcW w:type="dxa" w:w="1728"/>
          </w:tcPr>
          <w:p>
            <w:r>
              <w:rPr>
                <w:rFonts w:ascii="Calibri" w:hAnsi="Calibri"/>
                <w:sz w:val="22"/>
              </w:rPr>
              <w:t>Unchanged since Q1 earnings call. Consensus sits $0.03 above midpoint (+0.7%). Helium upside explicitly excluded.</w:t>
            </w:r>
          </w:p>
        </w:tc>
      </w:tr>
      <w:tr>
        <w:tc>
          <w:tcPr>
            <w:tcW w:type="dxa" w:w="1728"/>
          </w:tcPr>
          <w:p>
            <w:r>
              <w:rPr>
                <w:rFonts w:ascii="Calibri" w:hAnsi="Calibri"/>
                <w:sz w:val="22"/>
              </w:rPr>
              <w:t>FY2026 Adj. EPS</w:t>
            </w:r>
          </w:p>
        </w:tc>
        <w:tc>
          <w:tcPr>
            <w:tcW w:type="dxa" w:w="1728"/>
          </w:tcPr>
          <w:p>
            <w:r>
              <w:rPr>
                <w:rFonts w:ascii="Calibri" w:hAnsi="Calibri"/>
                <w:sz w:val="22"/>
              </w:rPr>
              <w:t>$17.60–$17.90 (7–9% YoY growth); raised bottom end by $0.20 from prior $17.40–$17.90; top end held flat; includes 1% FX tailwind</w:t>
            </w:r>
          </w:p>
        </w:tc>
        <w:tc>
          <w:tcPr>
            <w:tcW w:type="dxa" w:w="1728"/>
          </w:tcPr>
          <w:p>
            <w:r>
              <w:rPr>
                <w:rFonts w:ascii="Calibri" w:hAnsi="Calibri"/>
                <w:sz w:val="22"/>
              </w:rPr>
              <w:t>—</w:t>
            </w:r>
          </w:p>
        </w:tc>
        <w:tc>
          <w:tcPr>
            <w:tcW w:type="dxa" w:w="1728"/>
          </w:tcPr>
          <w:p>
            <w:r>
              <w:rPr>
                <w:rFonts w:ascii="Calibri" w:hAnsi="Calibri"/>
                <w:sz w:val="22"/>
              </w:rPr>
              <w:t>$17.86</w:t>
            </w:r>
          </w:p>
        </w:tc>
        <w:tc>
          <w:tcPr>
            <w:tcW w:type="dxa" w:w="1728"/>
          </w:tcPr>
          <w:p>
            <w:r>
              <w:rPr>
                <w:rFonts w:ascii="Calibri" w:hAnsi="Calibri"/>
                <w:sz w:val="22"/>
              </w:rPr>
              <w:t>Unchanged since Q1 earnings call. Mgmt cited desire for “more clarity on geopolitical events” before signaling increased optimism. Consensus near top of range.</w:t>
            </w:r>
          </w:p>
        </w:tc>
      </w:tr>
      <w:tr>
        <w:tc>
          <w:tcPr>
            <w:tcW w:type="dxa" w:w="1728"/>
          </w:tcPr>
          <w:p>
            <w:r>
              <w:rPr>
                <w:rFonts w:ascii="Calibri" w:hAnsi="Calibri"/>
                <w:sz w:val="22"/>
              </w:rPr>
              <w:t>FY2026 Operating Margin</w:t>
            </w:r>
          </w:p>
        </w:tc>
        <w:tc>
          <w:tcPr>
            <w:tcW w:type="dxa" w:w="1728"/>
          </w:tcPr>
          <w:p>
            <w:r>
              <w:rPr>
                <w:rFonts w:ascii="Calibri" w:hAnsi="Calibri"/>
                <w:sz w:val="22"/>
              </w:rPr>
              <w:t>Upper end or above traditional 40–60bps annual expansion range; confident in full-year margin raise</w:t>
            </w:r>
          </w:p>
        </w:tc>
        <w:tc>
          <w:tcPr>
            <w:tcW w:type="dxa" w:w="1728"/>
          </w:tcPr>
          <w:p>
            <w:r>
              <w:rPr>
                <w:rFonts w:ascii="Calibri" w:hAnsi="Calibri"/>
                <w:sz w:val="22"/>
              </w:rPr>
              <w:t>—</w:t>
            </w:r>
          </w:p>
        </w:tc>
        <w:tc>
          <w:tcPr>
            <w:tcW w:type="dxa" w:w="1728"/>
          </w:tcPr>
          <w:p>
            <w:r>
              <w:rPr>
                <w:rFonts w:ascii="Calibri" w:hAnsi="Calibri"/>
                <w:sz w:val="22"/>
              </w:rPr>
              <w:t>~30.2% (Q2 est.)</w:t>
            </w:r>
          </w:p>
        </w:tc>
        <w:tc>
          <w:tcPr>
            <w:tcW w:type="dxa" w:w="1728"/>
          </w:tcPr>
          <w:p>
            <w:r>
              <w:rPr>
                <w:rFonts w:ascii="Calibri" w:hAnsi="Calibri"/>
                <w:sz w:val="22"/>
              </w:rPr>
              <w:t>Unchanged. Q1 2026 margin was 30.0%, consistent with prior year. Management actions on pricing and cost productivity expected to continue.</w:t>
            </w:r>
          </w:p>
        </w:tc>
      </w:tr>
      <w:tr>
        <w:tc>
          <w:tcPr>
            <w:tcW w:type="dxa" w:w="1728"/>
          </w:tcPr>
          <w:p>
            <w:r>
              <w:rPr>
                <w:rFonts w:ascii="Calibri" w:hAnsi="Calibri"/>
                <w:sz w:val="22"/>
              </w:rPr>
              <w:t>Helium</w:t>
            </w:r>
          </w:p>
        </w:tc>
        <w:tc>
          <w:tcPr>
            <w:tcW w:type="dxa" w:w="1728"/>
          </w:tcPr>
          <w:p>
            <w:r>
              <w:rPr>
                <w:rFonts w:ascii="Calibri" w:hAnsi="Calibri"/>
                <w:sz w:val="22"/>
              </w:rPr>
              <w:t>Excluded from guidance entirely; framed as pure upside. Priority is securing new long-term contracts, not spot sales.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Global helium shortage has intensified since Q1 call (China ban, Russia/Qatar disruptions). Any incremental helium benefit remains unmodeled upside.</w:t>
            </w:r>
          </w:p>
        </w:tc>
      </w:tr>
      <w:tr>
        <w:tc>
          <w:tcPr>
            <w:tcW w:type="dxa" w:w="1728"/>
          </w:tcPr>
          <w:p>
            <w:r>
              <w:rPr>
                <w:rFonts w:ascii="Calibri" w:hAnsi="Calibri"/>
                <w:sz w:val="22"/>
              </w:rPr>
              <w:t>Sale of Gas Backlog</w:t>
            </w:r>
          </w:p>
        </w:tc>
        <w:tc>
          <w:tcPr>
            <w:tcW w:type="dxa" w:w="1728"/>
          </w:tcPr>
          <w:p>
            <w:r>
              <w:rPr>
                <w:rFonts w:ascii="Calibri" w:hAnsi="Calibri"/>
                <w:sz w:val="22"/>
              </w:rPr>
              <w:t>Mgmt expressed high confidence in adding substantial new projects; potential for “8-handle” ($8B+) by year-end</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Backlog was $7.1B at Q1 end. Electronics projects (&gt;$1B in UHP plants) are key near-term additions. Watch for new project announcements on Q2 call.</w:t>
            </w:r>
          </w:p>
        </w:tc>
      </w:tr>
    </w:tbl>
    <w:p>
      <w:r>
        <w:rPr>
          <w:rFonts w:ascii="Calibri" w:hAnsi="Calibri"/>
          <w:b/>
          <w:color w:val="525866"/>
          <w:sz w:val="22"/>
        </w:rPr>
        <w:t xml:space="preserve">Key Takeaway: </w:t>
      </w:r>
      <w:r>
        <w:rPr>
          <w:rFonts w:ascii="Calibri" w:hAnsi="Calibri"/>
          <w:color w:val="525866"/>
          <w:sz w:val="22"/>
        </w:rPr>
        <w:t xml:space="preserve">Guidance has been unchanged since the Q1 2026 earnings call on May 1, 2026 — no post-earnings 8-K, conference, or investor day has revised the numbers. Management's tone remains </w:t>
      </w:r>
    </w:p>
    <w:p>
      <w:r>
        <w:rPr>
          <w:rFonts w:ascii="Calibri" w:hAnsi="Calibri"/>
          <w:b/>
          <w:color w:val="525866"/>
          <w:sz w:val="22"/>
        </w:rPr>
        <w:t xml:space="preserve">Key Takeaway: </w:t>
      </w:r>
      <w:r>
        <w:rPr>
          <w:rFonts w:ascii="Calibri" w:hAnsi="Calibri"/>
          <w:color w:val="525866"/>
          <w:sz w:val="22"/>
        </w:rPr>
        <w:t xml:space="preserve">Guidance is unchanged since the Q1 2026 print; management's tone remains </w:t>
      </w:r>
    </w:p>
    <w:p>
      <w:r>
        <w:rPr>
          <w:rFonts w:ascii="Calibri" w:hAnsi="Calibri"/>
          <w:b/>
          <w:color w:val="525866"/>
          <w:sz w:val="22"/>
        </w:rPr>
        <w:t xml:space="preserve">Key Takeaway: </w:t>
      </w:r>
      <w:r>
        <w:rPr>
          <w:rFonts w:ascii="Calibri" w:hAnsi="Calibri"/>
          <w:color w:val="525866"/>
          <w:sz w:val="22"/>
        </w:rPr>
        <w:t xml:space="preserve">No guidance revisions since the Q1 2026 earnings call on May 1, 2026. Management's tone is </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w:t>
      </w:r>
    </w:p>
    <w:p>
      <w:r>
        <w:rPr>
          <w:rFonts w:ascii="Calibri" w:hAnsi="Calibri"/>
          <w:b/>
          <w:color w:val="525866"/>
          <w:sz w:val="22"/>
        </w:rPr>
        <w:t xml:space="preserve">Key Takeaway: </w:t>
      </w:r>
      <w:r>
        <w:rPr>
          <w:rFonts w:ascii="Calibri" w:hAnsi="Calibri"/>
          <w:color w:val="525866"/>
          <w:sz w:val="22"/>
        </w:rPr>
        <w:t xml:space="preserve">Estimates are flat since the Q1 2026 print — the Street has not chased upside despite the helium narrative, leaving consensus near the top of guidance and creating a modest but real cushion for a beat. </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~5/6/26)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Mid (%)</w:t>
            </w:r>
          </w:p>
        </w:tc>
      </w:tr>
      <w:tr>
        <w:tc>
          <w:tcPr>
            <w:tcW w:type="dxa" w:w="1080"/>
          </w:tcPr>
          <w:p>
            <w:r>
              <w:rPr>
                <w:rFonts w:ascii="Calibri" w:hAnsi="Calibri"/>
                <w:sz w:val="22"/>
              </w:rPr>
              <w:t>Adj. EPS — Q2 2026</w:t>
            </w:r>
          </w:p>
        </w:tc>
        <w:tc>
          <w:tcPr>
            <w:tcW w:type="dxa" w:w="1080"/>
          </w:tcPr>
          <w:p>
            <w:r>
              <w:rPr>
                <w:rFonts w:ascii="Calibri" w:hAnsi="Calibri"/>
                <w:sz w:val="22"/>
              </w:rPr>
              <w:t>$4.48</w:t>
            </w:r>
          </w:p>
        </w:tc>
        <w:tc>
          <w:tcPr>
            <w:tcW w:type="dxa" w:w="1080"/>
          </w:tcPr>
          <w:p>
            <w:r>
              <w:rPr>
                <w:rFonts w:ascii="Calibri" w:hAnsi="Calibri"/>
                <w:sz w:val="22"/>
              </w:rPr>
              <w:t>$4.48</w:t>
            </w:r>
          </w:p>
        </w:tc>
        <w:tc>
          <w:tcPr>
            <w:tcW w:type="dxa" w:w="1080"/>
          </w:tcPr>
          <w:p>
            <w:r>
              <w:rPr>
                <w:rFonts w:ascii="Calibri" w:hAnsi="Calibri"/>
                <w:sz w:val="22"/>
              </w:rPr>
              <w:t>0.0%</w:t>
            </w:r>
          </w:p>
        </w:tc>
        <w:tc>
          <w:tcPr>
            <w:tcW w:type="dxa" w:w="1080"/>
          </w:tcPr>
          <w:p>
            <w:r>
              <w:rPr>
                <w:rFonts w:ascii="Calibri" w:hAnsi="Calibri"/>
                <w:sz w:val="22"/>
              </w:rPr>
              <w:t>$4.40–$4.50 (mid $4.45)</w:t>
            </w:r>
          </w:p>
        </w:tc>
        <w:tc>
          <w:tcPr>
            <w:tcW w:type="dxa" w:w="1080"/>
          </w:tcPr>
          <w:p>
            <w:r>
              <w:rPr>
                <w:rFonts w:ascii="Calibri" w:hAnsi="Calibri"/>
                <w:sz w:val="22"/>
              </w:rPr>
              <w:t>$4.40–$4.50 (mid $4.45)</w:t>
            </w:r>
          </w:p>
        </w:tc>
        <w:tc>
          <w:tcPr>
            <w:tcW w:type="dxa" w:w="1080"/>
          </w:tcPr>
          <w:p>
            <w:r>
              <w:rPr>
                <w:rFonts w:ascii="Calibri" w:hAnsi="Calibri"/>
                <w:sz w:val="22"/>
              </w:rPr>
              <w:t>Unchanged</w:t>
            </w:r>
          </w:p>
        </w:tc>
        <w:tc>
          <w:tcPr>
            <w:tcW w:type="dxa" w:w="1080"/>
          </w:tcPr>
          <w:p>
            <w:r>
              <w:rPr>
                <w:rFonts w:ascii="Calibri" w:hAnsi="Calibri"/>
                <w:sz w:val="22"/>
              </w:rPr>
              <w:t>+0.7%</w:t>
            </w:r>
          </w:p>
        </w:tc>
      </w:tr>
      <w:tr>
        <w:tc>
          <w:tcPr>
            <w:tcW w:type="dxa" w:w="1080"/>
          </w:tcPr>
          <w:p>
            <w:r>
              <w:rPr>
                <w:rFonts w:ascii="Calibri" w:hAnsi="Calibri"/>
                <w:sz w:val="22"/>
              </w:rPr>
              <w:t>Adj. EPS — FY2026</w:t>
            </w:r>
          </w:p>
        </w:tc>
        <w:tc>
          <w:tcPr>
            <w:tcW w:type="dxa" w:w="1080"/>
          </w:tcPr>
          <w:p>
            <w:r>
              <w:rPr>
                <w:rFonts w:ascii="Calibri" w:hAnsi="Calibri"/>
                <w:sz w:val="22"/>
              </w:rPr>
              <w:t>$17.81</w:t>
            </w:r>
          </w:p>
        </w:tc>
        <w:tc>
          <w:tcPr>
            <w:tcW w:type="dxa" w:w="1080"/>
          </w:tcPr>
          <w:p>
            <w:r>
              <w:rPr>
                <w:rFonts w:ascii="Calibri" w:hAnsi="Calibri"/>
                <w:sz w:val="22"/>
              </w:rPr>
              <w:t>$17.86</w:t>
            </w:r>
          </w:p>
        </w:tc>
        <w:tc>
          <w:tcPr>
            <w:tcW w:type="dxa" w:w="1080"/>
          </w:tcPr>
          <w:p>
            <w:r>
              <w:rPr>
                <w:rFonts w:ascii="Calibri" w:hAnsi="Calibri"/>
                <w:b/>
                <w:color w:val="30A46C"/>
                <w:sz w:val="22"/>
              </w:rPr>
              <w:t>+0.3%</w:t>
            </w:r>
          </w:p>
        </w:tc>
        <w:tc>
          <w:tcPr>
            <w:tcW w:type="dxa" w:w="1080"/>
          </w:tcPr>
          <w:p>
            <w:r>
              <w:rPr>
                <w:rFonts w:ascii="Calibri" w:hAnsi="Calibri"/>
                <w:sz w:val="22"/>
              </w:rPr>
              <w:t>$17.60–$17.90 (mid $17.75)</w:t>
            </w:r>
          </w:p>
        </w:tc>
        <w:tc>
          <w:tcPr>
            <w:tcW w:type="dxa" w:w="1080"/>
          </w:tcPr>
          <w:p>
            <w:r>
              <w:rPr>
                <w:rFonts w:ascii="Calibri" w:hAnsi="Calibri"/>
                <w:sz w:val="22"/>
              </w:rPr>
              <w:t>$17.60–$17.90 (mid $17.75)</w:t>
            </w:r>
          </w:p>
        </w:tc>
        <w:tc>
          <w:tcPr>
            <w:tcW w:type="dxa" w:w="1080"/>
          </w:tcPr>
          <w:p>
            <w:r>
              <w:rPr>
                <w:rFonts w:ascii="Calibri" w:hAnsi="Calibri"/>
                <w:sz w:val="22"/>
              </w:rPr>
              <w:t>Unchanged</w:t>
            </w:r>
          </w:p>
        </w:tc>
        <w:tc>
          <w:tcPr>
            <w:tcW w:type="dxa" w:w="1080"/>
          </w:tcPr>
          <w:p>
            <w:r>
              <w:rPr>
                <w:rFonts w:ascii="Calibri" w:hAnsi="Calibri"/>
                <w:sz w:val="22"/>
              </w:rPr>
              <w:t>+0.6%</w:t>
            </w:r>
          </w:p>
        </w:tc>
      </w:tr>
      <w:tr>
        <w:tc>
          <w:tcPr>
            <w:tcW w:type="dxa" w:w="1080"/>
          </w:tcPr>
          <w:p>
            <w:r>
              <w:rPr>
                <w:rFonts w:ascii="Calibri" w:hAnsi="Calibri"/>
                <w:sz w:val="22"/>
              </w:rPr>
              <w:t>Total Revenue — Q2 2026</w:t>
            </w:r>
          </w:p>
        </w:tc>
        <w:tc>
          <w:tcPr>
            <w:tcW w:type="dxa" w:w="1080"/>
          </w:tcPr>
          <w:p>
            <w:r>
              <w:rPr>
                <w:rFonts w:ascii="Calibri" w:hAnsi="Calibri"/>
                <w:sz w:val="22"/>
              </w:rPr>
              <w:t>$9.006B</w:t>
            </w:r>
          </w:p>
        </w:tc>
        <w:tc>
          <w:tcPr>
            <w:tcW w:type="dxa" w:w="1080"/>
          </w:tcPr>
          <w:p>
            <w:r>
              <w:rPr>
                <w:rFonts w:ascii="Calibri" w:hAnsi="Calibri"/>
                <w:sz w:val="22"/>
              </w:rPr>
              <w:t>$9.012B</w:t>
            </w:r>
          </w:p>
        </w:tc>
        <w:tc>
          <w:tcPr>
            <w:tcW w:type="dxa" w:w="1080"/>
          </w:tcPr>
          <w:p>
            <w:r>
              <w:rPr>
                <w:rFonts w:ascii="Calibri" w:hAnsi="Calibri"/>
                <w:sz w:val="22"/>
              </w:rPr>
              <w:t>+0.1%</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$35.994B</w:t>
            </w:r>
          </w:p>
        </w:tc>
        <w:tc>
          <w:tcPr>
            <w:tcW w:type="dxa" w:w="1080"/>
          </w:tcPr>
          <w:p>
            <w:r>
              <w:rPr>
                <w:rFonts w:ascii="Calibri" w:hAnsi="Calibri"/>
                <w:sz w:val="22"/>
              </w:rPr>
              <w:t>$36.022B</w:t>
            </w:r>
          </w:p>
        </w:tc>
        <w:tc>
          <w:tcPr>
            <w:tcW w:type="dxa" w:w="1080"/>
          </w:tcPr>
          <w:p>
            <w:r>
              <w:rPr>
                <w:rFonts w:ascii="Calibri" w:hAnsi="Calibri"/>
                <w:sz w:val="22"/>
              </w:rPr>
              <w:t>+0.1%</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FY2027</w:t>
            </w:r>
          </w:p>
        </w:tc>
        <w:tc>
          <w:tcPr>
            <w:tcW w:type="dxa" w:w="1080"/>
          </w:tcPr>
          <w:p>
            <w:r>
              <w:rPr>
                <w:rFonts w:ascii="Calibri" w:hAnsi="Calibri"/>
                <w:sz w:val="22"/>
              </w:rPr>
              <w:t>$19.407B</w:t>
            </w:r>
          </w:p>
        </w:tc>
        <w:tc>
          <w:tcPr>
            <w:tcW w:type="dxa" w:w="1080"/>
          </w:tcPr>
          <w:p>
            <w:r>
              <w:rPr>
                <w:rFonts w:ascii="Calibri" w:hAnsi="Calibri"/>
                <w:sz w:val="22"/>
              </w:rPr>
              <w:t>$19.504</w:t>
            </w:r>
          </w:p>
        </w:tc>
        <w:tc>
          <w:tcPr>
            <w:tcW w:type="dxa" w:w="1080"/>
          </w:tcPr>
          <w:p>
            <w:r>
              <w:rPr>
                <w:rFonts w:ascii="Calibri" w:hAnsi="Calibri"/>
                <w:b/>
                <w:color w:val="30A46C"/>
                <w:sz w:val="22"/>
              </w:rPr>
              <w:t>+0.5%</w:t>
            </w:r>
          </w:p>
        </w:tc>
        <w:tc>
          <w:tcPr>
            <w:tcW w:type="dxa" w:w="1080"/>
          </w:tcPr>
          <w:p>
            <w:r>
              <w:rPr>
                <w:rFonts w:ascii="Calibri" w:hAnsi="Calibri"/>
                <w:sz w:val="22"/>
              </w:rPr>
              <w:t>No guidance provided</w:t>
            </w:r>
          </w:p>
        </w:tc>
        <w:tc>
          <w:tcPr>
            <w:tcW w:type="dxa" w:w="1080"/>
          </w:tcPr>
          <w:p>
            <w:r>
              <w:rPr>
                <w:rFonts w:ascii="Calibri" w:hAnsi="Calibri"/>
                <w:sz w:val="22"/>
              </w:rPr>
              <w:t>No guidance provided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been remarkably stable since the Q1 print, with FY2026 EPS drifting up just +0.3% and Q2 EPS flat. This suggests the Street has taken management's conservative framing at face value and has not modeled any helium upside — consistent with management's own guidance exclusion. The gap between consensus ($17.86) and the guidance top end ($17.90) is only $0.04, meaning any helium contribution or FX tailwind could push the full-year number above the top of the range.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LIN has </w:t>
      </w:r>
    </w:p>
    <w:p>
      <w:r>
        <w:rPr>
          <w:rFonts w:ascii="Calibri" w:hAnsi="Calibri"/>
          <w:b/>
          <w:color w:val="525866"/>
          <w:sz w:val="22"/>
        </w:rPr>
        <w:t xml:space="preserve">Key Takeaway: </w:t>
      </w:r>
      <w:r>
        <w:rPr>
          <w:rFonts w:ascii="Calibri" w:hAnsi="Calibri"/>
          <w:color w:val="525866"/>
          <w:sz w:val="22"/>
        </w:rPr>
        <w:t xml:space="preserve">LIN has underperformed both the S&amp;P 500 (+2.9%) and the XLB materials ETF (+0.6%) since the Q1 2026 earnings date, with the stock essentially flat (+0.1%) — the brief helium-driven spike to +7.6% in early July fully retraced, suggesting the market is not pricing in a sustained helium windfall and the stock is not stretched heading into the print. </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LIN vs XLB (Materials ETF) vs S&amp;P 500 — Indexed to 100 at Q1 2026 Earnings (May 1, 2026). Source: Yahoo Finance.</w:t>
      </w:r>
    </w:p>
    <w:p>
      <w:pPr>
        <w:pStyle w:val="ListBullet"/>
        <w:ind w:left="360" w:hanging="360"/>
      </w:pPr>
      <w:r>
        <w:rPr>
          <w:rFonts w:ascii="Calibri" w:hAnsi="Calibri"/>
          <w:b/>
          <w:color w:val="525866"/>
          <w:sz w:val="22"/>
        </w:rPr>
        <w:t>LIN +0.14% vs. XLB +0.56% vs. SPY +2.92% since May 1, 2026 earnings date</w:t>
      </w:r>
      <w:r>
        <w:rPr>
          <w:rFonts w:ascii="Calibri" w:hAnsi="Calibri"/>
          <w:color w:val="525866"/>
          <w:sz w:val="22"/>
        </w:rPr>
        <w:t xml:space="preserve"> — LIN has been the clear underperformer in the period, lagging both the broad market and the materials sector.</w:t>
      </w:r>
    </w:p>
    <w:p>
      <w:pPr>
        <w:pStyle w:val="ListBullet"/>
        <w:ind w:left="360" w:hanging="360"/>
      </w:pPr>
      <w:r>
        <w:rPr>
          <w:rFonts w:ascii="Calibri" w:hAnsi="Calibri"/>
          <w:b/>
          <w:color w:val="525866"/>
          <w:sz w:val="22"/>
        </w:rPr>
        <w:t xml:space="preserve">Helium spike and full retrace (early July): </w:t>
      </w:r>
      <w:r>
        <w:rPr>
          <w:rFonts w:ascii="Calibri" w:hAnsi="Calibri"/>
          <w:color w:val="525866"/>
          <w:sz w:val="22"/>
        </w:rPr>
        <w:t>LIN surged ~7.6% to a peak around July 1–2 on headlines about China helium export bans and global supply disruptions affecting AI/semiconductor supply chains. The stock fully retraced those gains by mid-July, suggesting the market viewed the move as speculative rather than fundamental.</w:t>
      </w:r>
    </w:p>
    <w:p>
      <w:pPr>
        <w:pStyle w:val="ListBullet"/>
        <w:ind w:left="360" w:hanging="360"/>
      </w:pPr>
      <w:r>
        <w:rPr>
          <w:rFonts w:ascii="Calibri" w:hAnsi="Calibri"/>
          <w:b/>
          <w:color w:val="525866"/>
          <w:sz w:val="22"/>
        </w:rPr>
        <w:t xml:space="preserve">Multiple: </w:t>
      </w:r>
      <w:r>
        <w:rPr>
          <w:rFonts w:ascii="Calibri" w:hAnsi="Calibri"/>
          <w:color w:val="525866"/>
          <w:sz w:val="22"/>
        </w:rPr>
        <w:t>LIN trades at a modest discount to historical averages and analyst price targets (consensus avg PT ~$543–$549 vs. current ~$509–$511), reflecting market caution on European industrial weakness and below-algorithm EPS growth. The stock is not pricing in a beat.</w:t>
      </w:r>
    </w:p>
    <w:p>
      <w:pPr>
        <w:pStyle w:val="ListBullet"/>
        <w:ind w:left="360" w:hanging="360"/>
      </w:pPr>
      <w:r>
        <w:rPr>
          <w:rFonts w:ascii="Calibri" w:hAnsi="Calibri"/>
          <w:b/>
          <w:color w:val="525866"/>
          <w:sz w:val="22"/>
        </w:rPr>
        <w:t>Sector ETF used: XLB (Materials Select Sector SPDR ETF)</w:t>
      </w:r>
      <w:r>
        <w:rPr>
          <w:rFonts w:ascii="Calibri" w:hAnsi="Calibri"/>
          <w:color w:val="525866"/>
          <w:sz w:val="22"/>
        </w:rPr>
        <w:t xml:space="preserve"> — appropriate for LIN's sub-sector as the world's largest industrial gases and specialty chemicals company, classified in the Materials sector.</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Q2 2026 peer reports confirm the key themes relevant to LIN: </w:t>
      </w:r>
    </w:p>
    <w:p>
      <w:r>
        <w:rPr>
          <w:rFonts w:ascii="Calibri" w:hAnsi="Calibri"/>
          <w:b/>
          <w:color w:val="525866"/>
          <w:sz w:val="22"/>
        </w:rPr>
        <w:t>electronics/AI demand is accelerating</w:t>
      </w:r>
      <w:r>
        <w:rPr>
          <w:rFonts w:ascii="Calibri" w:hAnsi="Calibri"/>
          <w:color w:val="525866"/>
          <w:sz w:val="22"/>
        </w:rPr>
        <w:t xml:space="preserve"> (ECL Global High Tech +29%, APD electronics backlog &gt;$1.5B in 6 months), </w:t>
      </w:r>
    </w:p>
    <w:p>
      <w:r>
        <w:rPr>
          <w:rFonts w:ascii="Calibri" w:hAnsi="Calibri"/>
          <w:b/>
          <w:color w:val="525866"/>
          <w:sz w:val="22"/>
        </w:rPr>
        <w:t>Americas remains the strongest region</w:t>
      </w:r>
      <w:r>
        <w:rPr>
          <w:rFonts w:ascii="Calibri" w:hAnsi="Calibri"/>
          <w:color w:val="525866"/>
          <w:sz w:val="22"/>
        </w:rPr>
        <w:t xml:space="preserve"> while EMEA faces structural headwinds, and the </w:t>
      </w:r>
    </w:p>
    <w:p>
      <w:r>
        <w:rPr>
          <w:rFonts w:ascii="Calibri" w:hAnsi="Calibri"/>
          <w:b/>
          <w:color w:val="525866"/>
          <w:sz w:val="22"/>
        </w:rPr>
        <w:t>Middle East conflict continues to disrupt supply chains</w:t>
      </w:r>
      <w:r>
        <w:rPr>
          <w:rFonts w:ascii="Calibri" w:hAnsi="Calibri"/>
          <w:color w:val="525866"/>
          <w:sz w:val="22"/>
        </w:rPr>
        <w:t xml:space="preserve"> — all consistent with LIN's Q1 narrative and supportive of a solid Q2 print.</w:t>
      </w:r>
    </w:p>
    <w:p>
      <w:pPr>
        <w:pStyle w:val="Heading3"/>
      </w:pPr>
      <w:r>
        <w:rPr>
          <w:rFonts w:ascii="Calibri" w:hAnsi="Calibri"/>
          <w:b/>
          <w:color w:val="3B4259"/>
          <w:sz w:val="24"/>
        </w:rPr>
        <w:t>Air Products &amp; Chemicals (APD) — Q3 FY2026 (Calendar Q2 2026), Reported July 30, 2026</w:t>
      </w:r>
    </w:p>
    <w:p>
      <w:r>
        <w:rPr>
          <w:rFonts w:ascii="Calibri" w:hAnsi="Calibri"/>
          <w:color w:val="525866"/>
          <w:sz w:val="22"/>
        </w:rPr>
        <w:t>Note: APD's fiscal Q3 2026 covers the calendar quarter ending June 30, 2026 — the same period LIN is reporting. APD is LIN's closest direct peer in industrial gases.</w:t>
      </w:r>
    </w:p>
    <w:p>
      <w:pPr>
        <w:pStyle w:val="ListBullet"/>
        <w:ind w:left="360" w:hanging="360"/>
      </w:pPr>
      <w:r>
        <w:rPr>
          <w:rFonts w:ascii="Calibri" w:hAnsi="Calibri"/>
          <w:b/>
          <w:color w:val="525866"/>
          <w:sz w:val="22"/>
        </w:rPr>
        <w:t xml:space="preserve">Electronics is the dominant growth driver: </w:t>
      </w:r>
      <w:r>
        <w:rPr>
          <w:rFonts w:ascii="Calibri" w:hAnsi="Calibri"/>
          <w:color w:val="525866"/>
          <w:sz w:val="22"/>
        </w:rPr>
        <w:t xml:space="preserve">APD announced a long-term agreement for four large air separation units supporting a semiconductor manufacturer's expansion in Taiwan, and noted that over $1.5B in traditional industrial gas projects for electronic customers were secured in the last six months. APD's backlog is now heavily skewed toward electronics (approximately two-thirds of current opportunities). </w:t>
      </w:r>
    </w:p>
    <w:p>
      <w:pPr>
        <w:pStyle w:val="ListBullet"/>
        <w:ind w:left="360" w:hanging="360"/>
      </w:pPr>
      <w:r>
        <w:rPr>
          <w:rFonts w:ascii="Calibri" w:hAnsi="Calibri"/>
          <w:b/>
          <w:color w:val="525866"/>
          <w:sz w:val="22"/>
        </w:rPr>
        <w:t>Americas volume growth of +7% YoY</w:t>
      </w:r>
      <w:r>
        <w:rPr>
          <w:rFonts w:ascii="Calibri" w:hAnsi="Calibri"/>
          <w:color w:val="525866"/>
          <w:sz w:val="22"/>
        </w:rPr>
        <w:t xml:space="preserve"> in Q3 FY2026, driven by HyCO facilities, a new Gulf Coast hydrogen pipeline asset, and favorable pricing — directly corroborating LIN's Q1 commentary on U.S. Gulf Coast refining and Latin American upstream energy strength.</w:t>
      </w:r>
    </w:p>
    <w:p>
      <w:pPr>
        <w:pStyle w:val="ListBullet"/>
        <w:ind w:left="360" w:hanging="360"/>
      </w:pPr>
      <w:r>
        <w:rPr>
          <w:rFonts w:ascii="Calibri" w:hAnsi="Calibri"/>
          <w:b/>
          <w:color w:val="525866"/>
          <w:sz w:val="22"/>
        </w:rPr>
        <w:t>EMEA volumes declined -2% YoY</w:t>
      </w:r>
      <w:r>
        <w:rPr>
          <w:rFonts w:ascii="Calibri" w:hAnsi="Calibri"/>
          <w:color w:val="525866"/>
          <w:sz w:val="22"/>
        </w:rPr>
        <w:t xml:space="preserve"> in Q3 FY2026, with operating margin down 90bps despite pricing actions more than offsetting higher power costs. Europe remains structurally challenged, consistent with LIN's persistent EMEA weakness narrative.</w:t>
      </w:r>
    </w:p>
    <w:p>
      <w:pPr>
        <w:pStyle w:val="ListBullet"/>
        <w:ind w:left="360" w:hanging="360"/>
      </w:pPr>
      <w:r>
        <w:rPr>
          <w:rFonts w:ascii="Calibri" w:hAnsi="Calibri"/>
          <w:b/>
          <w:color w:val="525866"/>
          <w:sz w:val="22"/>
        </w:rPr>
        <w:t>Helium: APD flagged helium as a 2% volume headwind in Q3 FY2026 (better than the 3% guided)</w:t>
      </w:r>
      <w:r>
        <w:rPr>
          <w:rFonts w:ascii="Calibri" w:hAnsi="Calibri"/>
          <w:color w:val="525866"/>
          <w:sz w:val="22"/>
        </w:rPr>
        <w:t>, driven by improved volumes and pricing in Asia supporting electronics customers. APD is signing new long-term helium agreements, particularly in electronics/Asia. Qatar volumes remain very limited due to Strait of Hormuz issues — directly relevant to LIN's helium upside thesis.</w:t>
      </w:r>
    </w:p>
    <w:p>
      <w:pPr>
        <w:pStyle w:val="ListBullet"/>
        <w:ind w:left="360" w:hanging="360"/>
      </w:pPr>
      <w:r>
        <w:rPr>
          <w:rFonts w:ascii="Calibri" w:hAnsi="Calibri"/>
          <w:b/>
          <w:color w:val="525866"/>
          <w:sz w:val="22"/>
        </w:rPr>
        <w:t xml:space="preserve">Macro caution maintained: </w:t>
      </w:r>
      <w:r>
        <w:rPr>
          <w:rFonts w:ascii="Calibri" w:hAnsi="Calibri"/>
          <w:color w:val="525866"/>
          <w:sz w:val="22"/>
        </w:rPr>
        <w:t>APD raised FY2026 EPS guidance to $13.39–$13.49 (+11–12% growth) but noted it “remains cautious given macroeconomic uncertainty.” The company cancelled the Louisiana Clean Energy Complex and other clean energy projects, taking ~$2.9B in charges — a reminder that green hydrogen economics remain challenged, consistent with LIN's pragmatic stance.</w:t>
      </w:r>
    </w:p>
    <w:p>
      <w:pPr>
        <w:pStyle w:val="Heading3"/>
      </w:pPr>
      <w:r>
        <w:rPr>
          <w:rFonts w:ascii="Calibri" w:hAnsi="Calibri"/>
          <w:b/>
          <w:color w:val="3B4259"/>
          <w:sz w:val="24"/>
        </w:rPr>
        <w:t>Dow Inc. (DOW) — Q2 2026, Reported July 23, 2026</w:t>
      </w:r>
    </w:p>
    <w:p>
      <w:pPr>
        <w:pStyle w:val="ListBullet"/>
        <w:ind w:left="360" w:hanging="360"/>
      </w:pPr>
      <w:r>
        <w:rPr>
          <w:rFonts w:ascii="Calibri" w:hAnsi="Calibri"/>
          <w:b/>
          <w:color w:val="525866"/>
          <w:sz w:val="22"/>
        </w:rPr>
        <w:t xml:space="preserve">Americas resilience confirmed: </w:t>
      </w:r>
      <w:r>
        <w:rPr>
          <w:rFonts w:ascii="Calibri" w:hAnsi="Calibri"/>
          <w:color w:val="525866"/>
          <w:sz w:val="22"/>
        </w:rPr>
        <w:t>Polyethylene volumes grew in the Americas while declining in EMEA and Asia Pacific. U.S. consumers remained steady and economic activity was described as “constructive.” Protectionist policies supporting local production — consistent with LIN's commentary on U.S. Gulf Coast refining and metals/manufacturing strength.</w:t>
      </w:r>
    </w:p>
    <w:p>
      <w:pPr>
        <w:pStyle w:val="ListBullet"/>
        <w:ind w:left="360" w:hanging="360"/>
      </w:pPr>
      <w:r>
        <w:rPr>
          <w:rFonts w:ascii="Calibri" w:hAnsi="Calibri"/>
          <w:b/>
          <w:color w:val="525866"/>
          <w:sz w:val="22"/>
        </w:rPr>
        <w:t xml:space="preserve">EMEA structural headwinds persist: </w:t>
      </w:r>
      <w:r>
        <w:rPr>
          <w:rFonts w:ascii="Calibri" w:hAnsi="Calibri"/>
          <w:color w:val="525866"/>
          <w:sz w:val="22"/>
        </w:rPr>
        <w:t>DOW cited “deeper structural pressures like high operating and labor costs” in Europe, with polyethylene volumes declining. DOW restarted its lowest-cost European cracker (idled since mid-2025) and shut down its Bury, UK siloxanes unit — signaling ongoing European industrial rationalization that pressures LIN's EMEA on-site volumes.</w:t>
      </w:r>
    </w:p>
    <w:p>
      <w:pPr>
        <w:pStyle w:val="ListBullet"/>
        <w:ind w:left="360" w:hanging="360"/>
      </w:pPr>
      <w:r>
        <w:rPr>
          <w:rFonts w:ascii="Calibri" w:hAnsi="Calibri"/>
          <w:b/>
          <w:color w:val="525866"/>
          <w:sz w:val="22"/>
        </w:rPr>
        <w:t xml:space="preserve">Middle East / Strait of Hormuz disruption: </w:t>
      </w:r>
      <w:r>
        <w:rPr>
          <w:rFonts w:ascii="Calibri" w:hAnsi="Calibri"/>
          <w:color w:val="525866"/>
          <w:sz w:val="22"/>
        </w:rPr>
        <w:t>DOW noted “traffic through the Strait of Hormuz remains below historical levels, continuing to disrupt global supply chains” and that geopolitical impact on energy and feedstocks is “supporting higher risk premiums.” This is directly relevant to LIN's helium supply situation (Qatar exports) and EMEA chemicals/energy volumes.</w:t>
      </w:r>
    </w:p>
    <w:p>
      <w:pPr>
        <w:pStyle w:val="ListBullet"/>
        <w:ind w:left="360" w:hanging="360"/>
      </w:pPr>
      <w:r>
        <w:rPr>
          <w:rFonts w:ascii="Calibri" w:hAnsi="Calibri"/>
          <w:b/>
          <w:color w:val="525866"/>
          <w:sz w:val="22"/>
        </w:rPr>
        <w:t xml:space="preserve">Electronics/data center demand strong: </w:t>
      </w:r>
      <w:r>
        <w:rPr>
          <w:rFonts w:ascii="Calibri" w:hAnsi="Calibri"/>
          <w:color w:val="525866"/>
          <w:sz w:val="22"/>
        </w:rPr>
        <w:t>DOW cited double-digit growth in EVs, consumer electronics, and industrial electronics, with data centers described as “a really bright spot” for silicones. Packaging remained resilient globally and “data center demand is outpacing supply.” Supportive of LIN's electronics end market (+10% in Q1 2026).</w:t>
      </w:r>
    </w:p>
    <w:p>
      <w:pPr>
        <w:pStyle w:val="ListBullet"/>
        <w:ind w:left="360" w:hanging="360"/>
      </w:pPr>
      <w:r>
        <w:rPr>
          <w:rFonts w:ascii="Calibri" w:hAnsi="Calibri"/>
          <w:b/>
          <w:color w:val="525866"/>
          <w:sz w:val="22"/>
        </w:rPr>
        <w:t xml:space="preserve">Asia Pacific mixed: </w:t>
      </w:r>
      <w:r>
        <w:rPr>
          <w:rFonts w:ascii="Calibri" w:hAnsi="Calibri"/>
          <w:color w:val="525866"/>
          <w:sz w:val="22"/>
        </w:rPr>
        <w:t>Regional consumer demand remained soft with weakened retail sales, but industrial production and manufacturing activity “recently accelerated” and refinery operations in China were normalizing. Consistent with LIN's moderate APAC volume growth driven by China and Southeast Asia.</w:t>
      </w:r>
    </w:p>
    <w:p>
      <w:pPr>
        <w:pStyle w:val="Heading3"/>
      </w:pPr>
      <w:r>
        <w:rPr>
          <w:rFonts w:ascii="Calibri" w:hAnsi="Calibri"/>
          <w:b/>
          <w:color w:val="3B4259"/>
          <w:sz w:val="24"/>
        </w:rPr>
        <w:t>Ecolab (ECL) — Q2 2026, Reported July 28, 2026</w:t>
      </w:r>
    </w:p>
    <w:p>
      <w:pPr>
        <w:pStyle w:val="ListBullet"/>
        <w:ind w:left="360" w:hanging="360"/>
      </w:pPr>
      <w:r>
        <w:rPr>
          <w:rFonts w:ascii="Calibri" w:hAnsi="Calibri"/>
          <w:b/>
          <w:color w:val="525866"/>
          <w:sz w:val="22"/>
        </w:rPr>
        <w:t xml:space="preserve">Electronics/AI demand accelerating sharply: </w:t>
      </w:r>
      <w:r>
        <w:rPr>
          <w:rFonts w:ascii="Calibri" w:hAnsi="Calibri"/>
          <w:color w:val="525866"/>
          <w:sz w:val="22"/>
        </w:rPr>
        <w:t>ECL's Global High Tech segment accelerated to 29% growth in Q2 2026, driven by “very strong demand across both microelectronics and data centers, driven by the rapid build-out of AI infrastructure.” ECL raised its Global High Tech growth target to &gt;25% annually, targeting $4B in sales by 2030. This is a strong read-through for LIN's electronics end market and UHP plant backlog.</w:t>
      </w:r>
    </w:p>
    <w:p>
      <w:pPr>
        <w:pStyle w:val="ListBullet"/>
        <w:ind w:left="360" w:hanging="360"/>
      </w:pPr>
      <w:r>
        <w:rPr>
          <w:rFonts w:ascii="Calibri" w:hAnsi="Calibri"/>
          <w:b/>
          <w:color w:val="525866"/>
          <w:sz w:val="22"/>
        </w:rPr>
        <w:t xml:space="preserve">Middle East conflict created ~1% volume headwind: </w:t>
      </w:r>
      <w:r>
        <w:rPr>
          <w:rFonts w:ascii="Calibri" w:hAnsi="Calibri"/>
          <w:color w:val="525866"/>
          <w:sz w:val="22"/>
        </w:rPr>
        <w:t>ECL noted volumes grew 1% despite a “nearly 1% headwind from customer operations disrupted by the conflict in the Middle East.” This disruption is expected to continue in H2 2026 — consistent with LIN's EMEA softness and chemicals/energy volume headwinds.</w:t>
      </w:r>
    </w:p>
    <w:p>
      <w:pPr>
        <w:pStyle w:val="ListBullet"/>
        <w:ind w:left="360" w:hanging="360"/>
      </w:pPr>
      <w:r>
        <w:rPr>
          <w:rFonts w:ascii="Calibri" w:hAnsi="Calibri"/>
          <w:b/>
          <w:color w:val="525866"/>
          <w:sz w:val="22"/>
        </w:rPr>
        <w:t>Pricing strengthened to 4% in Q2 2026</w:t>
      </w:r>
      <w:r>
        <w:rPr>
          <w:rFonts w:ascii="Calibri" w:hAnsi="Calibri"/>
          <w:color w:val="525866"/>
          <w:sz w:val="22"/>
        </w:rPr>
        <w:t xml:space="preserve"> (from lower levels in Q1), with ECL implementing a global energy surcharge. ECL expects pricing to strengthen further to 5–6% in H2 as energy surcharge benefits are fully realized — supportive of LIN's 2% pricing contribution and ongoing pricing power narrative.</w:t>
      </w:r>
    </w:p>
    <w:p>
      <w:pPr>
        <w:pStyle w:val="ListBullet"/>
        <w:ind w:left="360" w:hanging="360"/>
      </w:pPr>
      <w:r>
        <w:rPr>
          <w:rFonts w:ascii="Calibri" w:hAnsi="Calibri"/>
          <w:b/>
          <w:color w:val="525866"/>
          <w:sz w:val="22"/>
        </w:rPr>
        <w:t>Overall organic sales growth of 5% and adjusted EPS +11% YoY</w:t>
      </w:r>
      <w:r>
        <w:rPr>
          <w:rFonts w:ascii="Calibri" w:hAnsi="Calibri"/>
          <w:color w:val="525866"/>
          <w:sz w:val="22"/>
        </w:rPr>
        <w:t xml:space="preserve"> — ECL raised its FY2026 EPS outlook to $8.05–$8.25 (+7–10%). The strong execution in a challenging macro environment is a positive read-through for LIN's management actions thesis.</w:t>
      </w:r>
    </w:p>
    <w:p>
      <w:pPr>
        <w:pStyle w:val="Heading3"/>
      </w:pPr>
      <w:r>
        <w:rPr>
          <w:rFonts w:ascii="Calibri" w:hAnsi="Calibri"/>
          <w:b/>
          <w:color w:val="3B4259"/>
          <w:sz w:val="24"/>
        </w:rPr>
        <w:t>PPG Industries (PPG) — Q2 2026, Reported July 28, 2026</w:t>
      </w:r>
    </w:p>
    <w:p>
      <w:pPr>
        <w:pStyle w:val="ListBullet"/>
        <w:ind w:left="360" w:hanging="360"/>
      </w:pPr>
      <w:r>
        <w:rPr>
          <w:rFonts w:ascii="Calibri" w:hAnsi="Calibri"/>
          <w:b/>
          <w:color w:val="525866"/>
          <w:sz w:val="22"/>
        </w:rPr>
        <w:t xml:space="preserve">Industrial demand improving broadly: </w:t>
      </w:r>
      <w:r>
        <w:rPr>
          <w:rFonts w:ascii="Calibri" w:hAnsi="Calibri"/>
          <w:color w:val="525866"/>
          <w:sz w:val="22"/>
        </w:rPr>
        <w:t>PPG delivered its sixth consecutive quarter of organic sales growth at +4%, outpacing the industry by 300bps. Industrial coatings organic sales grew +5% with volume growth in all three businesses (Automotive OEM, Industrial, Packaging). This broad-based industrial improvement is a positive read-through for LIN's manufacturing and chemicals/energy end markets.</w:t>
      </w:r>
    </w:p>
    <w:p>
      <w:pPr>
        <w:pStyle w:val="ListBullet"/>
        <w:ind w:left="360" w:hanging="360"/>
      </w:pPr>
      <w:r>
        <w:rPr>
          <w:rFonts w:ascii="Calibri" w:hAnsi="Calibri"/>
          <w:b/>
          <w:color w:val="525866"/>
          <w:sz w:val="22"/>
        </w:rPr>
        <w:t xml:space="preserve">EMEA reaching an inflection point: </w:t>
      </w:r>
      <w:r>
        <w:rPr>
          <w:rFonts w:ascii="Calibri" w:hAnsi="Calibri"/>
          <w:color w:val="525866"/>
          <w:sz w:val="22"/>
        </w:rPr>
        <w:t>PPG noted that EMEA architectural coatings organic sales “turned positive” for the first time in several quarters, and that “margin expansion returned in Europe after several quarters of contraction.” While still mixed by country, this is a tentative positive signal for LIN's persistently weak EMEA volumes.</w:t>
      </w:r>
    </w:p>
    <w:p>
      <w:pPr>
        <w:pStyle w:val="ListBullet"/>
        <w:ind w:left="360" w:hanging="360"/>
      </w:pPr>
      <w:r>
        <w:rPr>
          <w:rFonts w:ascii="Calibri" w:hAnsi="Calibri"/>
          <w:b/>
          <w:color w:val="525866"/>
          <w:sz w:val="22"/>
        </w:rPr>
        <w:t xml:space="preserve">Aerospace/data center demand robust: </w:t>
      </w:r>
      <w:r>
        <w:rPr>
          <w:rFonts w:ascii="Calibri" w:hAnsi="Calibri"/>
          <w:color w:val="525866"/>
          <w:sz w:val="22"/>
        </w:rPr>
        <w:t>PPG's aerospace segment achieved double-digit growth with a $300M order backlog, and protective/marine coatings grew double-digits for the 13th consecutive quarter, driven by fire protection for data centers and warehouses. Consistent with LIN's commercial space/aerospace and electronics growth themes.</w:t>
      </w:r>
    </w:p>
    <w:p>
      <w:pPr>
        <w:pStyle w:val="ListBullet"/>
        <w:ind w:left="360" w:hanging="360"/>
      </w:pPr>
      <w:r>
        <w:rPr>
          <w:rFonts w:ascii="Calibri" w:hAnsi="Calibri"/>
          <w:b/>
          <w:color w:val="525866"/>
          <w:sz w:val="22"/>
        </w:rPr>
        <w:t xml:space="preserve">Raw material/energy cost inflation from Iraq war: </w:t>
      </w:r>
      <w:r>
        <w:rPr>
          <w:rFonts w:ascii="Calibri" w:hAnsi="Calibri"/>
          <w:color w:val="525866"/>
          <w:sz w:val="22"/>
        </w:rPr>
        <w:t>PPG cited cost increases for raw materials, energy, logistics, and packaging “across the coatings value chains due to the Iraq war,” estimating mid-to-high single digit COGS inflation in Q2–Q4. PPG covered ~90% of COGS inflation with pricing in Q2 and expects 100% coverage by Q4. Relevant to LIN's energy surcharge dynamics in EMEA.</w:t>
      </w:r>
    </w:p>
    <w:p>
      <w:pPr>
        <w:pStyle w:val="Heading3"/>
      </w:pPr>
      <w:r>
        <w:rPr>
          <w:rFonts w:ascii="Calibri" w:hAnsi="Calibri"/>
          <w:b/>
          <w:color w:val="3B4259"/>
          <w:sz w:val="24"/>
        </w:rPr>
        <w:t>Eastman Chemical (EMN) — Q2 2026, Reported July 30, 2026</w:t>
      </w:r>
    </w:p>
    <w:p>
      <w:pPr>
        <w:pStyle w:val="ListBullet"/>
        <w:ind w:left="360" w:hanging="360"/>
      </w:pPr>
      <w:r>
        <w:rPr>
          <w:rFonts w:ascii="Calibri" w:hAnsi="Calibri"/>
          <w:b/>
          <w:color w:val="525866"/>
          <w:sz w:val="22"/>
        </w:rPr>
        <w:t xml:space="preserve">Middle East conflict driving chemical supply chain disruptions: </w:t>
      </w:r>
      <w:r>
        <w:rPr>
          <w:rFonts w:ascii="Calibri" w:hAnsi="Calibri"/>
          <w:color w:val="525866"/>
          <w:sz w:val="22"/>
        </w:rPr>
        <w:t>EMN's Chemical Intermediates segment saw sales +39% YoY, driven by 24% higher volumes and 14% higher prices, with pricing “primarily driven by tightening market conditions due to the ongoing Middle East conflict.” EMN noted it has “substantially more volume to sell this year” due to supply disruptions. This confirms the Middle East conflict is creating meaningful chemical supply chain dislocations relevant to LIN's EMEA chemicals/energy volumes.</w:t>
      </w:r>
    </w:p>
    <w:p>
      <w:pPr>
        <w:pStyle w:val="ListBullet"/>
        <w:ind w:left="360" w:hanging="360"/>
      </w:pPr>
      <w:r>
        <w:rPr>
          <w:rFonts w:ascii="Calibri" w:hAnsi="Calibri"/>
          <w:b/>
          <w:color w:val="525866"/>
          <w:sz w:val="22"/>
        </w:rPr>
        <w:t xml:space="preserve">Americas strength: </w:t>
      </w:r>
      <w:r>
        <w:rPr>
          <w:rFonts w:ascii="Calibri" w:hAnsi="Calibri"/>
          <w:color w:val="525866"/>
          <w:sz w:val="22"/>
        </w:rPr>
        <w:t>U.S. and Canada sales grew to $1.158B in Q2 2026 from $963M in Q2 2025 (+20%), while Asia Pacific was slightly down. EMN is leveraging “significant and advantaged integrated U.S.-based assets” as a reliable supplier — consistent with LIN's Americas outperformance narrative.</w:t>
      </w:r>
    </w:p>
    <w:p>
      <w:pPr>
        <w:pStyle w:val="ListBullet"/>
        <w:ind w:left="360" w:hanging="360"/>
      </w:pPr>
      <w:r>
        <w:rPr>
          <w:rFonts w:ascii="Calibri" w:hAnsi="Calibri"/>
          <w:b/>
          <w:color w:val="525866"/>
          <w:sz w:val="22"/>
        </w:rPr>
        <w:t xml:space="preserve">Weak discretionary end markets persist: </w:t>
      </w:r>
      <w:r>
        <w:rPr>
          <w:rFonts w:ascii="Calibri" w:hAnsi="Calibri"/>
          <w:color w:val="525866"/>
          <w:sz w:val="22"/>
        </w:rPr>
        <w:t>EMN cited “continued weak demand in key discretionary end markets” for the full year 2026, with Fibers volumes down 10% YoY due to textiles destocking. This is consistent with LIN's cautious macro stance and EMEA industrial weakness.</w:t>
      </w:r>
    </w:p>
    <w:p>
      <w:pPr>
        <w:pStyle w:val="ListBullet"/>
        <w:ind w:left="360" w:hanging="360"/>
      </w:pPr>
      <w:r>
        <w:rPr>
          <w:rFonts w:ascii="Calibri" w:hAnsi="Calibri"/>
          <w:b/>
          <w:color w:val="525866"/>
          <w:sz w:val="22"/>
        </w:rPr>
        <w:t>Q3 2026 outlook: Chemical Intermediates earnings expected to “modestly decline as the impact of supply chain disruptions lessens”</w:t>
      </w:r>
      <w:r>
        <w:rPr>
          <w:rFonts w:ascii="Calibri" w:hAnsi="Calibri"/>
          <w:color w:val="525866"/>
          <w:sz w:val="22"/>
        </w:rPr>
        <w:t xml:space="preserve"> — suggesting the Middle East conflict tailwind for chemical pricing may be peaking, which could be a modest headwind for LIN's EMEA chemicals/energy volumes in H2 2026.</w:t>
      </w:r>
    </w:p>
    <w:p>
      <w:r>
        <w:rPr>
          <w:rFonts w:ascii="Calibri" w:hAnsi="Calibri"/>
          <w:b/>
          <w:color w:val="525866"/>
          <w:sz w:val="22"/>
        </w:rPr>
        <w:t xml:space="preserve">Key Takeaway: </w:t>
      </w:r>
      <w:r>
        <w:rPr>
          <w:rFonts w:ascii="Calibri" w:hAnsi="Calibri"/>
          <w:color w:val="525866"/>
          <w:sz w:val="22"/>
        </w:rPr>
        <w:t xml:space="preserve">Peer commentary from Q2 2026 earnings (reported in the last 60 days) is broadly constructive for LIN — </w:t>
      </w:r>
    </w:p>
    <w:p>
      <w:r>
        <w:rPr>
          <w:rFonts w:ascii="Calibri" w:hAnsi="Calibri"/>
          <w:b/>
          <w:color w:val="525866"/>
          <w:sz w:val="22"/>
        </w:rPr>
        <w:t xml:space="preserve">Key Takeaway: </w:t>
      </w:r>
      <w:r>
        <w:rPr>
          <w:rFonts w:ascii="Calibri" w:hAnsi="Calibri"/>
          <w:color w:val="525866"/>
          <w:sz w:val="22"/>
        </w:rPr>
        <w:t xml:space="preserve">Peers reporting Q2 2026 results confirm the key themes relevant to LIN: </w:t>
      </w:r>
    </w:p>
    <w:p>
      <w:r>
        <w:rPr>
          <w:rFonts w:ascii="Calibri" w:hAnsi="Calibri"/>
          <w:b/>
          <w:color w:val="525866"/>
          <w:sz w:val="22"/>
        </w:rPr>
        <w:t xml:space="preserve">Key Takeaway: </w:t>
      </w:r>
      <w:r>
        <w:rPr>
          <w:rFonts w:ascii="Calibri" w:hAnsi="Calibri"/>
          <w:color w:val="525866"/>
          <w:sz w:val="22"/>
        </w:rPr>
        <w:t xml:space="preserve">Q2 2026 peer reports confirm </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post-Q1 development is the </w:t>
      </w:r>
    </w:p>
    <w:p>
      <w:r>
        <w:rPr>
          <w:rFonts w:ascii="Calibri" w:hAnsi="Calibri"/>
          <w:b/>
          <w:color w:val="525866"/>
          <w:sz w:val="22"/>
        </w:rPr>
        <w:t>global helium supply shock</w:t>
      </w:r>
      <w:r>
        <w:rPr>
          <w:rFonts w:ascii="Calibri" w:hAnsi="Calibri"/>
          <w:color w:val="525866"/>
          <w:sz w:val="22"/>
        </w:rPr>
        <w:t xml:space="preserve"> (China ban + Russia/Qatar disruptions), which has intensified since the Q1 call and represents unmodeled upside to guidance; the EUR 1.6B debt offering and a wave of analyst PT raises round out the key developments.</w:t>
      </w:r>
    </w:p>
    <w:p>
      <w:pPr>
        <w:pStyle w:val="ListBullet"/>
        <w:ind w:left="360" w:hanging="360"/>
      </w:pPr>
      <w:r>
        <w:rPr>
          <w:rFonts w:ascii="Calibri" w:hAnsi="Calibri"/>
          <w:b/>
          <w:color w:val="525866"/>
          <w:sz w:val="22"/>
        </w:rPr>
        <w:t xml:space="preserve">July 13–17, 2026 — China Helium Export Ban / Global Helium Shortage Intensifies: </w:t>
      </w:r>
      <w:r>
        <w:rPr>
          <w:rFonts w:ascii="Calibri" w:hAnsi="Calibri"/>
          <w:color w:val="525866"/>
          <w:sz w:val="22"/>
        </w:rPr>
        <w:t xml:space="preserve">China, Russia, and Qatar export curbs triggered a global helium shortage critical to chip fabrication and AI hardware supply chains. Headlines drove LIN stock up ~7.6% to a peak around July 1–2 before fully retracing. </w:t>
      </w:r>
    </w:p>
    <w:p>
      <w:pPr>
        <w:pStyle w:val="ListBullet"/>
        <w:ind w:left="360" w:hanging="360"/>
      </w:pPr>
      <w:r>
        <w:rPr>
          <w:rFonts w:ascii="Calibri" w:hAnsi="Calibri"/>
          <w:i/>
          <w:color w:val="525866"/>
          <w:sz w:val="22"/>
        </w:rPr>
        <w:t xml:space="preserve">Implication: </w:t>
      </w:r>
      <w:r>
        <w:rPr>
          <w:rFonts w:ascii="Calibri" w:hAnsi="Calibri"/>
          <w:color w:val="525866"/>
          <w:sz w:val="22"/>
        </w:rPr>
        <w:t>Management has excluded all helium upside from guidance; any incremental color on contract signings, pricing trajectory, or volume recovery could be the decisive catalyst for the Q2 print and full-year guidance raise.</w:t>
      </w:r>
    </w:p>
    <w:p>
      <w:pPr>
        <w:pStyle w:val="ListBullet"/>
        <w:ind w:left="360" w:hanging="360"/>
      </w:pPr>
      <w:r>
        <w:rPr>
          <w:rFonts w:ascii="Calibri" w:hAnsi="Calibri"/>
          <w:b/>
          <w:color w:val="525866"/>
          <w:sz w:val="22"/>
        </w:rPr>
        <w:t xml:space="preserve">July 17, 2026 — Sanford C. Bernstein Raises PT to $599 (from $561), Outperform: </w:t>
      </w:r>
      <w:r>
        <w:rPr>
          <w:rFonts w:ascii="Calibri" w:hAnsi="Calibri"/>
          <w:color w:val="525866"/>
          <w:sz w:val="22"/>
        </w:rPr>
        <w:t xml:space="preserve">Bernstein specifically cited the helium/AI supply chain angle as the driver of the upgrade. Implies ~16% upside from prior close. UBS also maintained Buy/$600 target (June 2). </w:t>
      </w:r>
    </w:p>
    <w:p>
      <w:pPr>
        <w:pStyle w:val="ListBullet"/>
        <w:ind w:left="360" w:hanging="360"/>
      </w:pPr>
      <w:r>
        <w:rPr>
          <w:rFonts w:ascii="Calibri" w:hAnsi="Calibri"/>
          <w:i/>
          <w:color w:val="525866"/>
          <w:sz w:val="22"/>
        </w:rPr>
        <w:t xml:space="preserve">Implication: </w:t>
      </w:r>
      <w:r>
        <w:rPr>
          <w:rFonts w:ascii="Calibri" w:hAnsi="Calibri"/>
          <w:color w:val="525866"/>
          <w:sz w:val="22"/>
        </w:rPr>
        <w:t>Sell-side is increasingly focused on helium as a structural upside driver, not just a one-quarter event.</w:t>
      </w:r>
    </w:p>
    <w:p>
      <w:pPr>
        <w:pStyle w:val="ListBullet"/>
        <w:ind w:left="360" w:hanging="360"/>
      </w:pPr>
      <w:r>
        <w:rPr>
          <w:rFonts w:ascii="Calibri" w:hAnsi="Calibri"/>
          <w:b/>
          <w:color w:val="525866"/>
          <w:sz w:val="22"/>
        </w:rPr>
        <w:t xml:space="preserve">June 24, 2026 — Citigroup Initiates Coverage at Overweight: </w:t>
      </w:r>
      <w:r>
        <w:rPr>
          <w:rFonts w:ascii="Calibri" w:hAnsi="Calibri"/>
          <w:color w:val="525866"/>
          <w:sz w:val="22"/>
        </w:rPr>
        <w:t xml:space="preserve">Citi initiated with an Overweight rating, adding to the bullish analyst consensus (11 Buy/1 Hold out of 12 analysts, avg PT ~$543–$549). </w:t>
      </w:r>
    </w:p>
    <w:p>
      <w:pPr>
        <w:pStyle w:val="ListBullet"/>
        <w:ind w:left="360" w:hanging="360"/>
      </w:pPr>
      <w:r>
        <w:rPr>
          <w:rFonts w:ascii="Calibri" w:hAnsi="Calibri"/>
          <w:i/>
          <w:color w:val="525866"/>
          <w:sz w:val="22"/>
        </w:rPr>
        <w:t xml:space="preserve">Implication: </w:t>
      </w:r>
      <w:r>
        <w:rPr>
          <w:rFonts w:ascii="Calibri" w:hAnsi="Calibri"/>
          <w:color w:val="525866"/>
          <w:sz w:val="22"/>
        </w:rPr>
        <w:t>Broad analyst community remains constructive; no downgrades since Q1 earnings.</w:t>
      </w:r>
    </w:p>
    <w:p>
      <w:pPr>
        <w:pStyle w:val="ListBullet"/>
        <w:ind w:left="360" w:hanging="360"/>
      </w:pPr>
      <w:r>
        <w:rPr>
          <w:rFonts w:ascii="Calibri" w:hAnsi="Calibri"/>
          <w:b/>
          <w:color w:val="525866"/>
          <w:sz w:val="22"/>
        </w:rPr>
        <w:t xml:space="preserve">May 13, 2026 — Linde Issues EUR 1.6 Billion in New Debt (8-K): </w:t>
      </w:r>
      <w:r>
        <w:rPr>
          <w:rFonts w:ascii="Calibri" w:hAnsi="Calibri"/>
          <w:color w:val="525866"/>
          <w:sz w:val="22"/>
        </w:rPr>
        <w:t xml:space="preserve">LIN issued EUR 1.6B in new notes via a dealer agreement and fiscal agency agreement. </w:t>
      </w:r>
    </w:p>
    <w:p>
      <w:pPr>
        <w:pStyle w:val="ListBullet"/>
        <w:ind w:left="360" w:hanging="360"/>
      </w:pPr>
      <w:r>
        <w:rPr>
          <w:rFonts w:ascii="Calibri" w:hAnsi="Calibri"/>
          <w:i/>
          <w:color w:val="525866"/>
          <w:sz w:val="22"/>
        </w:rPr>
        <w:t xml:space="preserve">Implication: </w:t>
      </w:r>
      <w:r>
        <w:rPr>
          <w:rFonts w:ascii="Calibri" w:hAnsi="Calibri"/>
          <w:color w:val="525866"/>
          <w:sz w:val="22"/>
        </w:rPr>
        <w:t>Consistent with management's “fortress balance sheet” strategy and capital deployment for growth projects and shareholder returns. Adds modest interest expense but signals confidence in the business outlook.</w:t>
      </w:r>
    </w:p>
    <w:p>
      <w:pPr>
        <w:pStyle w:val="ListBullet"/>
        <w:ind w:left="360" w:hanging="360"/>
      </w:pPr>
      <w:r>
        <w:rPr>
          <w:rFonts w:ascii="Calibri" w:hAnsi="Calibri"/>
          <w:b/>
          <w:color w:val="525866"/>
          <w:sz w:val="22"/>
        </w:rPr>
        <w:t xml:space="preserve">May 5, 2026 — Analyst PT Raises Post-Q1: </w:t>
      </w:r>
      <w:r>
        <w:rPr>
          <w:rFonts w:ascii="Calibri" w:hAnsi="Calibri"/>
          <w:color w:val="525866"/>
          <w:sz w:val="22"/>
        </w:rPr>
        <w:t xml:space="preserve">RBC boosted PT to $570 (from $552, Outperform); BMO reiterated Outperform/$560; Deutsche Bank raised PT to $530 (from $525). </w:t>
      </w:r>
    </w:p>
    <w:p>
      <w:pPr>
        <w:pStyle w:val="ListBullet"/>
        <w:ind w:left="360" w:hanging="360"/>
      </w:pPr>
      <w:r>
        <w:rPr>
          <w:rFonts w:ascii="Calibri" w:hAnsi="Calibri"/>
          <w:i/>
          <w:color w:val="525866"/>
          <w:sz w:val="22"/>
        </w:rPr>
        <w:t xml:space="preserve">Implication: </w:t>
      </w:r>
      <w:r>
        <w:rPr>
          <w:rFonts w:ascii="Calibri" w:hAnsi="Calibri"/>
          <w:color w:val="525866"/>
          <w:sz w:val="22"/>
        </w:rPr>
        <w:t>Broad-based PT increases following the Q1 beat, though targets remain below UBS ($600) and Bernstein ($599) outliers.</w:t>
      </w:r>
    </w:p>
    <w:p>
      <w:pPr>
        <w:pStyle w:val="ListBullet"/>
        <w:ind w:left="360" w:hanging="360"/>
      </w:pPr>
      <w:r>
        <w:rPr>
          <w:rFonts w:ascii="Calibri" w:hAnsi="Calibri"/>
          <w:b/>
          <w:color w:val="525866"/>
          <w:sz w:val="22"/>
        </w:rPr>
        <w:t xml:space="preserve">July 30, 2026 — Shareholders Approve Directors, Auditor, Executive Pay (8-K): </w:t>
      </w:r>
      <w:r>
        <w:rPr>
          <w:rFonts w:ascii="Calibri" w:hAnsi="Calibri"/>
          <w:color w:val="525866"/>
          <w:sz w:val="22"/>
        </w:rPr>
        <w:t xml:space="preserve">Routine annual meeting approvals. No material governance changes. </w:t>
      </w:r>
    </w:p>
    <w:p>
      <w:pPr>
        <w:pStyle w:val="ListBullet"/>
        <w:ind w:left="360" w:hanging="360"/>
      </w:pPr>
      <w:r>
        <w:rPr>
          <w:rFonts w:ascii="Calibri" w:hAnsi="Calibri"/>
          <w:i/>
          <w:color w:val="525866"/>
          <w:sz w:val="22"/>
        </w:rPr>
        <w:t xml:space="preserve">Implication: </w:t>
      </w:r>
      <w:r>
        <w:rPr>
          <w:rFonts w:ascii="Calibri" w:hAnsi="Calibri"/>
          <w:color w:val="525866"/>
          <w:sz w:val="22"/>
        </w:rPr>
        <w:t>No governance overhang heading into earnings.</w:t>
      </w:r>
    </w:p>
    <w:p>
      <w:pPr>
        <w:pStyle w:val="ListBullet"/>
        <w:ind w:left="360" w:hanging="360"/>
      </w:pPr>
      <w:r>
        <w:rPr>
          <w:rFonts w:ascii="Calibri" w:hAnsi="Calibri"/>
          <w:b/>
          <w:color w:val="525866"/>
          <w:sz w:val="22"/>
        </w:rPr>
        <w:t xml:space="preserve">July 10, 2026 — Evercore Reiterates Outperform, $525 PT: </w:t>
      </w:r>
      <w:r>
        <w:rPr>
          <w:rFonts w:ascii="Calibri" w:hAnsi="Calibri"/>
          <w:color w:val="525866"/>
          <w:sz w:val="22"/>
        </w:rPr>
        <w:t>Evercore maintained its Outperform rating but with the lowest PT among major bulls at $525, suggesting some caution on near-term EPS growth trajectory vs. the long-term algorithm.</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p>
    <w:p>
      <w:r>
        <w:rPr>
          <w:rFonts w:ascii="Calibri" w:hAnsi="Calibri"/>
          <w:b/>
          <w:color w:val="525866"/>
          <w:sz w:val="22"/>
        </w:rPr>
        <w:t xml:space="preserve">Key Takeaway: </w:t>
      </w:r>
      <w:r>
        <w:rPr>
          <w:rFonts w:ascii="Calibri" w:hAnsi="Calibri"/>
          <w:color w:val="525866"/>
          <w:sz w:val="22"/>
        </w:rPr>
        <w:t xml:space="preserve">The most important development since the Q1 2026 print is the </w:t>
      </w:r>
    </w:p>
    <w:p>
      <w:r>
        <w:rPr>
          <w:rFonts w:ascii="Calibri" w:hAnsi="Calibri"/>
          <w:b/>
          <w:color w:val="525866"/>
          <w:sz w:val="22"/>
        </w:rPr>
        <w:t xml:space="preserve">Key Takeaway: </w:t>
      </w:r>
      <w:r>
        <w:rPr>
          <w:rFonts w:ascii="Calibri" w:hAnsi="Calibri"/>
          <w:color w:val="525866"/>
          <w:sz w:val="22"/>
        </w:rPr>
        <w:t xml:space="preserve">The most material post-Q1 development is the </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insider transaction since the Q1 2026 earnings date — a discretionary open-market sale by a Director. The size is modest and not part of a 10b5-1 plan, but it is not a buy signal. No clustered buying or unusual activity; the overall insider picture is neutral.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Value (Est.)</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Disclosed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Robert L. Wood</w:t>
            </w:r>
          </w:p>
        </w:tc>
        <w:tc>
          <w:tcPr>
            <w:tcW w:type="dxa" w:w="1080"/>
          </w:tcPr>
          <w:p>
            <w:r>
              <w:rPr>
                <w:rFonts w:ascii="Calibri" w:hAnsi="Calibri"/>
                <w:sz w:val="22"/>
              </w:rPr>
              <w:t>Director</w:t>
            </w:r>
          </w:p>
        </w:tc>
        <w:tc>
          <w:tcPr>
            <w:tcW w:type="dxa" w:w="1080"/>
          </w:tcPr>
          <w:p>
            <w:r>
              <w:rPr>
                <w:rFonts w:ascii="Calibri" w:hAnsi="Calibri"/>
                <w:sz w:val="22"/>
              </w:rPr>
              <w:t>Open Market Sale</w:t>
            </w:r>
          </w:p>
        </w:tc>
        <w:tc>
          <w:tcPr>
            <w:tcW w:type="dxa" w:w="1080"/>
          </w:tcPr>
          <w:p>
            <w:r>
              <w:rPr>
                <w:rFonts w:ascii="Calibri" w:hAnsi="Calibri"/>
                <w:sz w:val="22"/>
              </w:rPr>
              <w:t>880 shares</w:t>
            </w:r>
          </w:p>
        </w:tc>
        <w:tc>
          <w:tcPr>
            <w:tcW w:type="dxa" w:w="1080"/>
          </w:tcPr>
          <w:p>
            <w:r>
              <w:rPr>
                <w:rFonts w:ascii="Calibri" w:hAnsi="Calibri"/>
                <w:sz w:val="22"/>
              </w:rPr>
              <w:t>~$435K (est. at ~$494/share)</w:t>
            </w:r>
          </w:p>
        </w:tc>
        <w:tc>
          <w:tcPr>
            <w:tcW w:type="dxa" w:w="1080"/>
          </w:tcPr>
          <w:p>
            <w:r>
              <w:rPr>
                <w:rFonts w:ascii="Calibri" w:hAnsi="Calibri"/>
                <w:sz w:val="22"/>
              </w:rPr>
              <w:t>May 14, 2026</w:t>
            </w:r>
          </w:p>
        </w:tc>
        <w:tc>
          <w:tcPr>
            <w:tcW w:type="dxa" w:w="1080"/>
          </w:tcPr>
          <w:p>
            <w:r>
              <w:rPr>
                <w:rFonts w:ascii="Calibri" w:hAnsi="Calibri"/>
                <w:sz w:val="22"/>
              </w:rPr>
              <w:t>May 18, 2026</w:t>
            </w:r>
          </w:p>
        </w:tc>
        <w:tc>
          <w:tcPr>
            <w:tcW w:type="dxa" w:w="1080"/>
          </w:tcPr>
          <w:p>
            <w:r>
              <w:rPr>
                <w:rFonts w:ascii="Calibri" w:hAnsi="Calibri"/>
                <w:sz w:val="22"/>
              </w:rPr>
              <w:t>Discretionary open-market sale; NOT a 10b5-1 plan. Modest size relative to remaining holdings (~13,583 shares post-sale). No pattern of clustered selling.</w:t>
            </w:r>
          </w:p>
        </w:tc>
      </w:tr>
    </w:tbl>
    <w:p>
      <w:r>
        <w:rPr>
          <w:rFonts w:ascii="Calibri" w:hAnsi="Calibri"/>
          <w:color w:val="525866"/>
          <w:sz w:val="22"/>
        </w:rPr>
        <w:t>No open-market purchases by insiders since the Q1 2026 earnings date. The single sale by Director Wood is modest in size and occurred shortly after the Q1 earnings release — not unusual for a director managing personal liquidity. The absence of any insider buying is neutral, not a negative signal given LIN's consistent execution track record. Source: SEC Form 4 Filings /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