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Linde plc (LIN) — Q2 2026 Earnings Preview</w:t>
      </w:r>
    </w:p>
    <w:p>
      <w:r>
        <w:rPr>
          <w:rFonts w:ascii="Calibri" w:hAnsi="Calibri"/>
          <w:b/>
          <w:color w:val="525866"/>
          <w:sz w:val="22"/>
        </w:rPr>
        <w:t xml:space="preserve">Ticker: </w:t>
      </w:r>
      <w:r>
        <w:rPr>
          <w:rFonts w:ascii="Calibri" w:hAnsi="Calibri"/>
          <w:color w:val="525866"/>
          <w:sz w:val="22"/>
        </w:rPr>
        <w:t xml:space="preserve">LIN  </w:t>
      </w:r>
      <w:r>
        <w:rPr>
          <w:rFonts w:ascii="Calibri" w:hAnsi="Calibri"/>
          <w:b/>
          <w:color w:val="525866"/>
          <w:sz w:val="22"/>
        </w:rPr>
        <w:t xml:space="preserve">Earnings Date: </w:t>
      </w:r>
      <w:r>
        <w:rPr>
          <w:rFonts w:ascii="Calibri" w:hAnsi="Calibri"/>
          <w:color w:val="525866"/>
          <w:sz w:val="22"/>
        </w:rPr>
        <w:t xml:space="preserve">July 31, 2026  </w:t>
      </w:r>
      <w:r>
        <w:rPr>
          <w:rFonts w:ascii="Calibri" w:hAnsi="Calibri"/>
          <w:b/>
          <w:color w:val="525866"/>
          <w:sz w:val="22"/>
        </w:rPr>
        <w:t xml:space="preserve">Prepared: </w:t>
      </w:r>
      <w:r>
        <w:rPr>
          <w:rFonts w:ascii="Calibri" w:hAnsi="Calibri"/>
          <w:color w:val="525866"/>
          <w:sz w:val="22"/>
        </w:rPr>
        <w:t>July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the midpoint of management’s guided range, the bar is not stretched, and the single biggest swing factor is whether helium upside (deliberately excluded from guidance) begins to show up in reported results.</w:t>
      </w:r>
    </w:p>
    <w:p>
      <w:r>
        <w:rPr>
          <w:rFonts w:ascii="Calibri" w:hAnsi="Calibri"/>
          <w:color w:val="525866"/>
          <w:sz w:val="22"/>
        </w:rPr>
        <w:t xml:space="preserve">Heading into Q2 2026, Linde’s consensus EPS estimate of ~$4.48 sits squarely within management’s guided range of $4.40–$4.50, implying an 8–10% year-over-year growth rate — a bar that is neither stretched nor particularly easy given the persistent drag from European industrial weakness and the Woodside ATR/TNS slip into Q1 2027. </w:t>
      </w:r>
      <w:r>
        <w:rPr>
          <w:rFonts w:ascii="Calibri" w:hAnsi="Calibri"/>
          <w:b/>
          <w:color w:val="525866"/>
          <w:sz w:val="22"/>
        </w:rPr>
        <w:t>Management’s tone on the Q1 2026 call was deliberately guarded</w:t>
      </w:r>
      <w:r>
        <w:rPr>
          <w:rFonts w:ascii="Calibri" w:hAnsi="Calibri"/>
          <w:color w:val="525866"/>
          <w:sz w:val="22"/>
        </w:rPr>
        <w:t xml:space="preserve">: the full-year range was raised only at the bottom end (to $17.60–$17.90), with the top held flat pending “a few more months” of geopolitical clarity — a posture that has kept estimate revisions essentially flat since the May 1 print. The stock has rallied ~7% from the Q1 earnings date to ~$509, outperforming XLB but lagging the S&amp;P 500, with the move driven almost entirely by multiple expansion rather than upward EPS revisions, leaving the stock trading at ~27x NTM P/E versus its historical average — a setup that rewards a clean beat but punishes any guidance disappointment. The </w:t>
      </w:r>
      <w:r>
        <w:rPr>
          <w:rFonts w:ascii="Calibri" w:hAnsi="Calibri"/>
          <w:b/>
          <w:color w:val="525866"/>
          <w:sz w:val="22"/>
        </w:rPr>
        <w:t>wildcard is helium</w:t>
      </w:r>
      <w:r>
        <w:rPr>
          <w:rFonts w:ascii="Calibri" w:hAnsi="Calibri"/>
          <w:color w:val="525866"/>
          <w:sz w:val="22"/>
        </w:rPr>
        <w:t>: management explicitly excluded any helium improvement from guidance, framing it as “pure upside”; with the Strait of Hormuz disruption and Russian supply issues creating acute global shortages, even a modest positive helium commentary on the call could move the stock meaningfully above the guided range.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fair bar — EPS at the midpoint of guidance and revenue slightly above the Q1 run-rate. The bigger swing factor is operating margin: any sequential expansion above 30% would signal pricing and productivity are offsetting European volume headwinds better than feared.</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(Q1 2026)</w:t>
            </w:r>
          </w:p>
        </w:tc>
        <w:tc>
          <w:tcPr>
            <w:tcW w:type="dxa" w:w="1234"/>
          </w:tcPr>
          <w:p>
            <w:r>
              <w:rPr>
                <w:rFonts w:ascii="Calibri" w:hAnsi="Calibri"/>
                <w:b/>
                <w:sz w:val="22"/>
              </w:rPr>
              <w:t>Prior Year Period (Q2 2025)</w:t>
            </w:r>
          </w:p>
        </w:tc>
        <w:tc>
          <w:tcPr>
            <w:tcW w:type="dxa" w:w="1234"/>
          </w:tcPr>
          <w:p>
            <w:r>
              <w:rPr>
                <w:rFonts w:ascii="Calibri" w:hAnsi="Calibri"/>
                <w:b/>
                <w:sz w:val="22"/>
              </w:rPr>
              <w:t>Q2 2026 Consensus Estimate</w:t>
            </w:r>
          </w:p>
        </w:tc>
        <w:tc>
          <w:tcPr>
            <w:tcW w:type="dxa" w:w="1234"/>
          </w:tcPr>
          <w:p>
            <w:r>
              <w:rPr>
                <w:rFonts w:ascii="Calibri" w:hAnsi="Calibri"/>
                <w:b/>
                <w:sz w:val="22"/>
              </w:rPr>
              <w:t>YoY Change</w:t>
            </w:r>
          </w:p>
        </w:tc>
        <w:tc>
          <w:tcPr>
            <w:tcW w:type="dxa" w:w="1234"/>
          </w:tcPr>
          <w:p>
            <w:r>
              <w:rPr>
                <w:rFonts w:ascii="Calibri" w:hAnsi="Calibri"/>
                <w:b/>
                <w:sz w:val="22"/>
              </w:rPr>
              <w:t>Q2 2026 Guidance</w:t>
            </w:r>
          </w:p>
        </w:tc>
        <w:tc>
          <w:tcPr>
            <w:tcW w:type="dxa" w:w="1234"/>
          </w:tcPr>
          <w:p>
            <w:r>
              <w:rPr>
                <w:rFonts w:ascii="Calibri" w:hAnsi="Calibri"/>
                <w:b/>
                <w:sz w:val="22"/>
              </w:rPr>
              <w:t>Consensus vs. Guidance Midpoint</w:t>
            </w:r>
          </w:p>
        </w:tc>
      </w:tr>
      <w:tr>
        <w:tc>
          <w:tcPr>
            <w:tcW w:type="dxa" w:w="1234"/>
          </w:tcPr>
          <w:p>
            <w:r>
              <w:rPr>
                <w:rFonts w:ascii="Calibri" w:hAnsi="Calibri"/>
                <w:sz w:val="22"/>
              </w:rPr>
              <w:t>Adj. EPS (Diluted – Operating)</w:t>
            </w:r>
          </w:p>
        </w:tc>
        <w:tc>
          <w:tcPr>
            <w:tcW w:type="dxa" w:w="1234"/>
          </w:tcPr>
          <w:p>
            <w:r>
              <w:rPr>
                <w:rFonts w:ascii="Calibri" w:hAnsi="Calibri"/>
                <w:sz w:val="22"/>
              </w:rPr>
              <w:t>$4.33</w:t>
            </w:r>
          </w:p>
        </w:tc>
        <w:tc>
          <w:tcPr>
            <w:tcW w:type="dxa" w:w="1234"/>
          </w:tcPr>
          <w:p>
            <w:r>
              <w:rPr>
                <w:rFonts w:ascii="Calibri" w:hAnsi="Calibri"/>
                <w:sz w:val="22"/>
              </w:rPr>
              <w:t>$4.09</w:t>
            </w:r>
          </w:p>
        </w:tc>
        <w:tc>
          <w:tcPr>
            <w:tcW w:type="dxa" w:w="1234"/>
          </w:tcPr>
          <w:p>
            <w:r>
              <w:rPr>
                <w:rFonts w:ascii="Calibri" w:hAnsi="Calibri"/>
                <w:sz w:val="22"/>
              </w:rPr>
              <w:t>$4.48</w:t>
            </w:r>
          </w:p>
        </w:tc>
        <w:tc>
          <w:tcPr>
            <w:tcW w:type="dxa" w:w="1234"/>
          </w:tcPr>
          <w:p>
            <w:r>
              <w:rPr>
                <w:rFonts w:ascii="Calibri" w:hAnsi="Calibri"/>
                <w:sz w:val="22"/>
              </w:rPr>
              <w:t>+9.5%</w:t>
            </w:r>
          </w:p>
        </w:tc>
        <w:tc>
          <w:tcPr>
            <w:tcW w:type="dxa" w:w="1234"/>
          </w:tcPr>
          <w:p>
            <w:r>
              <w:rPr>
                <w:rFonts w:ascii="Calibri" w:hAnsi="Calibri"/>
                <w:sz w:val="22"/>
              </w:rPr>
              <w:t>$4.40–$4.50</w:t>
            </w:r>
          </w:p>
        </w:tc>
        <w:tc>
          <w:tcPr>
            <w:tcW w:type="dxa" w:w="1234"/>
          </w:tcPr>
          <w:p>
            <w:r>
              <w:rPr>
                <w:rFonts w:ascii="Calibri" w:hAnsi="Calibri"/>
                <w:sz w:val="22"/>
              </w:rPr>
              <w:t>+0.2% vs. $4.45 mid</w:t>
            </w:r>
          </w:p>
        </w:tc>
      </w:tr>
      <w:tr>
        <w:tc>
          <w:tcPr>
            <w:tcW w:type="dxa" w:w="1234"/>
          </w:tcPr>
          <w:p>
            <w:r>
              <w:rPr>
                <w:rFonts w:ascii="Calibri" w:hAnsi="Calibri"/>
                <w:sz w:val="22"/>
              </w:rPr>
              <w:t>Total Revenue</w:t>
            </w:r>
          </w:p>
        </w:tc>
        <w:tc>
          <w:tcPr>
            <w:tcW w:type="dxa" w:w="1234"/>
          </w:tcPr>
          <w:p>
            <w:r>
              <w:rPr>
                <w:rFonts w:ascii="Calibri" w:hAnsi="Calibri"/>
                <w:sz w:val="22"/>
              </w:rPr>
              <w:t>$8.781B</w:t>
            </w:r>
          </w:p>
        </w:tc>
        <w:tc>
          <w:tcPr>
            <w:tcW w:type="dxa" w:w="1234"/>
          </w:tcPr>
          <w:p>
            <w:r>
              <w:rPr>
                <w:rFonts w:ascii="Calibri" w:hAnsi="Calibri"/>
                <w:sz w:val="22"/>
              </w:rPr>
              <w:t>$8.495B</w:t>
            </w:r>
          </w:p>
        </w:tc>
        <w:tc>
          <w:tcPr>
            <w:tcW w:type="dxa" w:w="1234"/>
          </w:tcPr>
          <w:p>
            <w:r>
              <w:rPr>
                <w:rFonts w:ascii="Calibri" w:hAnsi="Calibri"/>
                <w:sz w:val="22"/>
              </w:rPr>
              <w:t>$9.012B</w:t>
            </w:r>
          </w:p>
        </w:tc>
        <w:tc>
          <w:tcPr>
            <w:tcW w:type="dxa" w:w="1234"/>
          </w:tcPr>
          <w:p>
            <w:r>
              <w:rPr>
                <w:rFonts w:ascii="Calibri" w:hAnsi="Calibri"/>
                <w:sz w:val="22"/>
              </w:rPr>
              <w:t>+6.1%</w:t>
            </w:r>
          </w:p>
        </w:tc>
        <w:tc>
          <w:tcPr>
            <w:tcW w:type="dxa" w:w="1234"/>
          </w:tcPr>
          <w:p>
            <w:r>
              <w:rPr>
                <w:rFonts w:ascii="Calibri" w:hAnsi="Calibri"/>
                <w:sz w:val="22"/>
              </w:rPr>
              <w:t>No explicit revenue guidance</w:t>
            </w:r>
          </w:p>
        </w:tc>
        <w:tc>
          <w:tcPr>
            <w:tcW w:type="dxa" w:w="1234"/>
          </w:tcPr>
          <w:p>
            <w:r>
              <w:rPr>
                <w:rFonts w:ascii="Calibri" w:hAnsi="Calibri"/>
                <w:sz w:val="22"/>
              </w:rPr>
              <w:t>N/A</w:t>
            </w:r>
          </w:p>
        </w:tc>
      </w:tr>
      <w:tr>
        <w:tc>
          <w:tcPr>
            <w:tcW w:type="dxa" w:w="1234"/>
          </w:tcPr>
          <w:p>
            <w:r>
              <w:rPr>
                <w:rFonts w:ascii="Calibri" w:hAnsi="Calibri"/>
                <w:sz w:val="22"/>
              </w:rPr>
              <w:t>Operating Profit (Adj.)</w:t>
            </w:r>
          </w:p>
        </w:tc>
        <w:tc>
          <w:tcPr>
            <w:tcW w:type="dxa" w:w="1234"/>
          </w:tcPr>
          <w:p>
            <w:r>
              <w:rPr>
                <w:rFonts w:ascii="Calibri" w:hAnsi="Calibri"/>
                <w:sz w:val="22"/>
              </w:rPr>
              <w:t>$2.630B</w:t>
            </w:r>
          </w:p>
        </w:tc>
        <w:tc>
          <w:tcPr>
            <w:tcW w:type="dxa" w:w="1234"/>
          </w:tcPr>
          <w:p>
            <w:r>
              <w:rPr>
                <w:rFonts w:ascii="Calibri" w:hAnsi="Calibri"/>
                <w:sz w:val="22"/>
              </w:rPr>
              <w:t>$2.556B</w:t>
            </w:r>
          </w:p>
        </w:tc>
        <w:tc>
          <w:tcPr>
            <w:tcW w:type="dxa" w:w="1234"/>
          </w:tcPr>
          <w:p>
            <w:r>
              <w:rPr>
                <w:rFonts w:ascii="Calibri" w:hAnsi="Calibri"/>
                <w:sz w:val="22"/>
              </w:rPr>
              <w:t>$2.723B</w:t>
            </w:r>
          </w:p>
        </w:tc>
        <w:tc>
          <w:tcPr>
            <w:tcW w:type="dxa" w:w="1234"/>
          </w:tcPr>
          <w:p>
            <w:r>
              <w:rPr>
                <w:rFonts w:ascii="Calibri" w:hAnsi="Calibri"/>
                <w:sz w:val="22"/>
              </w:rPr>
              <w:t>+6.5%</w:t>
            </w:r>
          </w:p>
        </w:tc>
        <w:tc>
          <w:tcPr>
            <w:tcW w:type="dxa" w:w="1234"/>
          </w:tcPr>
          <w:p>
            <w:r>
              <w:rPr>
                <w:rFonts w:ascii="Calibri" w:hAnsi="Calibri"/>
                <w:sz w:val="22"/>
              </w:rPr>
              <w:t>No explicit guidance</w:t>
            </w:r>
          </w:p>
        </w:tc>
        <w:tc>
          <w:tcPr>
            <w:tcW w:type="dxa" w:w="1234"/>
          </w:tcPr>
          <w:p>
            <w:r>
              <w:rPr>
                <w:rFonts w:ascii="Calibri" w:hAnsi="Calibri"/>
                <w:sz w:val="22"/>
              </w:rPr>
              <w:t>N/A</w:t>
            </w:r>
          </w:p>
        </w:tc>
      </w:tr>
      <w:tr>
        <w:tc>
          <w:tcPr>
            <w:tcW w:type="dxa" w:w="1234"/>
          </w:tcPr>
          <w:p>
            <w:r>
              <w:rPr>
                <w:rFonts w:ascii="Calibri" w:hAnsi="Calibri"/>
                <w:sz w:val="22"/>
              </w:rPr>
              <w:t>Sale of Gas Backlog</w:t>
            </w:r>
          </w:p>
        </w:tc>
        <w:tc>
          <w:tcPr>
            <w:tcW w:type="dxa" w:w="1234"/>
          </w:tcPr>
          <w:p>
            <w:r>
              <w:rPr>
                <w:rFonts w:ascii="Calibri" w:hAnsi="Calibri"/>
                <w:sz w:val="22"/>
              </w:rPr>
              <w:t>$7.1B</w:t>
            </w:r>
          </w:p>
        </w:tc>
        <w:tc>
          <w:tcPr>
            <w:tcW w:type="dxa" w:w="1234"/>
          </w:tcPr>
          <w:p>
            <w:r>
              <w:rPr>
                <w:rFonts w:ascii="Calibri" w:hAnsi="Calibri"/>
                <w:sz w:val="22"/>
              </w:rPr>
              <w:t>$7.1B</w:t>
            </w:r>
          </w:p>
        </w:tc>
        <w:tc>
          <w:tcPr>
            <w:tcW w:type="dxa" w:w="1234"/>
          </w:tcPr>
          <w:p>
            <w:r>
              <w:rPr>
                <w:rFonts w:ascii="Calibri" w:hAnsi="Calibri"/>
                <w:sz w:val="22"/>
              </w:rPr>
              <w:t>N/A — not in VA</w:t>
            </w:r>
          </w:p>
        </w:tc>
        <w:tc>
          <w:tcPr>
            <w:tcW w:type="dxa" w:w="1234"/>
          </w:tcPr>
          <w:p>
            <w:r>
              <w:rPr>
                <w:rFonts w:ascii="Calibri" w:hAnsi="Calibri"/>
                <w:sz w:val="22"/>
              </w:rPr>
              <w:t>Flat YoY</w:t>
            </w:r>
          </w:p>
        </w:tc>
        <w:tc>
          <w:tcPr>
            <w:tcW w:type="dxa" w:w="1234"/>
          </w:tcPr>
          <w:p>
            <w:r>
              <w:rPr>
                <w:rFonts w:ascii="Calibri" w:hAnsi="Calibri"/>
                <w:sz w:val="22"/>
              </w:rPr>
              <w:t>Mgmt. expects “8-handle” by year-end</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$0.898B</w:t>
            </w:r>
          </w:p>
        </w:tc>
        <w:tc>
          <w:tcPr>
            <w:tcW w:type="dxa" w:w="1234"/>
          </w:tcPr>
          <w:p>
            <w:r>
              <w:rPr>
                <w:rFonts w:ascii="Calibri" w:hAnsi="Calibri"/>
                <w:sz w:val="22"/>
              </w:rPr>
              <w:t>$0.954B</w:t>
            </w:r>
          </w:p>
        </w:tc>
        <w:tc>
          <w:tcPr>
            <w:tcW w:type="dxa" w:w="1234"/>
          </w:tcPr>
          <w:p>
            <w:r>
              <w:rPr>
                <w:rFonts w:ascii="Calibri" w:hAnsi="Calibri"/>
                <w:sz w:val="22"/>
              </w:rPr>
              <w:t>$1.658B</w:t>
            </w:r>
          </w:p>
        </w:tc>
        <w:tc>
          <w:tcPr>
            <w:tcW w:type="dxa" w:w="1234"/>
          </w:tcPr>
          <w:p>
            <w:r>
              <w:rPr>
                <w:rFonts w:ascii="Calibri" w:hAnsi="Calibri"/>
                <w:sz w:val="22"/>
              </w:rPr>
              <w:t>+73.8%</w:t>
            </w:r>
          </w:p>
        </w:tc>
        <w:tc>
          <w:tcPr>
            <w:tcW w:type="dxa" w:w="1234"/>
          </w:tcPr>
          <w:p>
            <w:r>
              <w:rPr>
                <w:rFonts w:ascii="Calibri" w:hAnsi="Calibri"/>
                <w:sz w:val="22"/>
              </w:rPr>
              <w:t>No explicit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p>
    <w:p>
      <w:pPr>
        <w:pStyle w:val="Heading3"/>
      </w:pPr>
      <w:r>
        <w:rPr>
          <w:rFonts w:ascii="Calibri" w:hAnsi="Calibri"/>
          <w:b/>
          <w:color w:val="3B4259"/>
          <w:sz w:val="24"/>
        </w:rPr>
        <w:t>Table 2 — Beat/Miss History (Last 8 Quarters — Adj. EPS &amp; Revenue)</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rFonts w:ascii="Calibri" w:hAnsi="Calibri"/>
                <w:b/>
                <w:sz w:val="22"/>
              </w:rPr>
              <w:t>Quarter</w:t>
            </w:r>
          </w:p>
        </w:tc>
        <w:tc>
          <w:tcPr>
            <w:tcW w:type="dxa" w:w="960"/>
          </w:tcPr>
          <w:p>
            <w:r>
              <w:rPr>
                <w:rFonts w:ascii="Calibri" w:hAnsi="Calibri"/>
                <w:b/>
                <w:sz w:val="22"/>
              </w:rPr>
              <w:t>EPS Reported</w:t>
            </w:r>
          </w:p>
        </w:tc>
        <w:tc>
          <w:tcPr>
            <w:tcW w:type="dxa" w:w="960"/>
          </w:tcPr>
          <w:p>
            <w:r>
              <w:rPr>
                <w:rFonts w:ascii="Calibri" w:hAnsi="Calibri"/>
                <w:b/>
                <w:sz w:val="22"/>
              </w:rPr>
              <w:t>EPS Consensus</w:t>
            </w:r>
          </w:p>
        </w:tc>
        <w:tc>
          <w:tcPr>
            <w:tcW w:type="dxa" w:w="960"/>
          </w:tcPr>
          <w:p>
            <w:r>
              <w:rPr>
                <w:rFonts w:ascii="Calibri" w:hAnsi="Calibri"/>
                <w:b/>
                <w:sz w:val="22"/>
              </w:rPr>
              <w:t>EPS Surprise %</w:t>
            </w:r>
          </w:p>
        </w:tc>
        <w:tc>
          <w:tcPr>
            <w:tcW w:type="dxa" w:w="960"/>
          </w:tcPr>
          <w:p>
            <w:r>
              <w:rPr>
                <w:rFonts w:ascii="Calibri" w:hAnsi="Calibri"/>
                <w:b/>
                <w:sz w:val="22"/>
              </w:rPr>
              <w:t>EPS Result</w:t>
            </w:r>
          </w:p>
        </w:tc>
        <w:tc>
          <w:tcPr>
            <w:tcW w:type="dxa" w:w="960"/>
          </w:tcPr>
          <w:p>
            <w:r>
              <w:rPr>
                <w:rFonts w:ascii="Calibri" w:hAnsi="Calibri"/>
                <w:b/>
                <w:sz w:val="22"/>
              </w:rPr>
              <w:t>Revenue Reported</w:t>
            </w:r>
          </w:p>
        </w:tc>
        <w:tc>
          <w:tcPr>
            <w:tcW w:type="dxa" w:w="960"/>
          </w:tcPr>
          <w:p>
            <w:r>
              <w:rPr>
                <w:rFonts w:ascii="Calibri" w:hAnsi="Calibri"/>
                <w:b/>
                <w:sz w:val="22"/>
              </w:rPr>
              <w:t>Revenue Consensus</w:t>
            </w:r>
          </w:p>
        </w:tc>
        <w:tc>
          <w:tcPr>
            <w:tcW w:type="dxa" w:w="960"/>
          </w:tcPr>
          <w:p>
            <w:r>
              <w:rPr>
                <w:rFonts w:ascii="Calibri" w:hAnsi="Calibri"/>
                <w:b/>
                <w:sz w:val="22"/>
              </w:rPr>
              <w:t>Rev. Surprise %</w:t>
            </w:r>
          </w:p>
        </w:tc>
        <w:tc>
          <w:tcPr>
            <w:tcW w:type="dxa" w:w="960"/>
          </w:tcPr>
          <w:p>
            <w:r>
              <w:rPr>
                <w:rFonts w:ascii="Calibri" w:hAnsi="Calibri"/>
                <w:b/>
                <w:sz w:val="22"/>
              </w:rPr>
              <w:t>Rev. Result</w:t>
            </w:r>
          </w:p>
        </w:tc>
      </w:tr>
      <w:tr>
        <w:tc>
          <w:tcPr>
            <w:tcW w:type="dxa" w:w="960"/>
          </w:tcPr>
          <w:p>
            <w:r>
              <w:rPr>
                <w:rFonts w:ascii="Calibri" w:hAnsi="Calibri"/>
                <w:sz w:val="22"/>
              </w:rPr>
              <w:t>Q1 2026</w:t>
            </w:r>
          </w:p>
        </w:tc>
        <w:tc>
          <w:tcPr>
            <w:tcW w:type="dxa" w:w="960"/>
          </w:tcPr>
          <w:p>
            <w:r>
              <w:rPr>
                <w:rFonts w:ascii="Calibri" w:hAnsi="Calibri"/>
                <w:sz w:val="22"/>
              </w:rPr>
              <w:t>$4.33</w:t>
            </w:r>
          </w:p>
        </w:tc>
        <w:tc>
          <w:tcPr>
            <w:tcW w:type="dxa" w:w="960"/>
          </w:tcPr>
          <w:p>
            <w:r>
              <w:rPr>
                <w:rFonts w:ascii="Calibri" w:hAnsi="Calibri"/>
                <w:sz w:val="22"/>
              </w:rPr>
              <w:t>$4.26</w:t>
            </w:r>
          </w:p>
        </w:tc>
        <w:tc>
          <w:tcPr>
            <w:tcW w:type="dxa" w:w="960"/>
          </w:tcPr>
          <w:p>
            <w:r>
              <w:rPr>
                <w:rFonts w:ascii="Calibri" w:hAnsi="Calibri"/>
                <w:sz w:val="22"/>
              </w:rPr>
              <w:t>+1.6%</w:t>
            </w:r>
          </w:p>
        </w:tc>
        <w:tc>
          <w:tcPr>
            <w:tcW w:type="dxa" w:w="960"/>
          </w:tcPr>
          <w:p>
            <w:r>
              <w:rPr>
                <w:rFonts w:ascii="Calibri" w:hAnsi="Calibri"/>
                <w:b/>
                <w:color w:val="30A46C"/>
                <w:sz w:val="22"/>
              </w:rPr>
              <w:t>Beat</w:t>
            </w:r>
          </w:p>
        </w:tc>
        <w:tc>
          <w:tcPr>
            <w:tcW w:type="dxa" w:w="960"/>
          </w:tcPr>
          <w:p>
            <w:r>
              <w:rPr>
                <w:rFonts w:ascii="Calibri" w:hAnsi="Calibri"/>
                <w:sz w:val="22"/>
              </w:rPr>
              <w:t>$8.781B</w:t>
            </w:r>
          </w:p>
        </w:tc>
        <w:tc>
          <w:tcPr>
            <w:tcW w:type="dxa" w:w="960"/>
          </w:tcPr>
          <w:p>
            <w:r>
              <w:rPr>
                <w:rFonts w:ascii="Calibri" w:hAnsi="Calibri"/>
                <w:sz w:val="22"/>
              </w:rPr>
              <w:t>$8.583B</w:t>
            </w:r>
          </w:p>
        </w:tc>
        <w:tc>
          <w:tcPr>
            <w:tcW w:type="dxa" w:w="960"/>
          </w:tcPr>
          <w:p>
            <w:r>
              <w:rPr>
                <w:rFonts w:ascii="Calibri" w:hAnsi="Calibri"/>
                <w:sz w:val="22"/>
              </w:rPr>
              <w:t>+2.3%</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$4.20</w:t>
            </w:r>
          </w:p>
        </w:tc>
        <w:tc>
          <w:tcPr>
            <w:tcW w:type="dxa" w:w="960"/>
          </w:tcPr>
          <w:p>
            <w:r>
              <w:rPr>
                <w:rFonts w:ascii="Calibri" w:hAnsi="Calibri"/>
                <w:sz w:val="22"/>
              </w:rPr>
              <w:t>$4.18</w:t>
            </w:r>
          </w:p>
        </w:tc>
        <w:tc>
          <w:tcPr>
            <w:tcW w:type="dxa" w:w="960"/>
          </w:tcPr>
          <w:p>
            <w:r>
              <w:rPr>
                <w:rFonts w:ascii="Calibri" w:hAnsi="Calibri"/>
                <w:sz w:val="22"/>
              </w:rPr>
              <w:t>+0.5%</w:t>
            </w:r>
          </w:p>
        </w:tc>
        <w:tc>
          <w:tcPr>
            <w:tcW w:type="dxa" w:w="960"/>
          </w:tcPr>
          <w:p>
            <w:r>
              <w:rPr>
                <w:rFonts w:ascii="Calibri" w:hAnsi="Calibri"/>
                <w:b/>
                <w:color w:val="30A46C"/>
                <w:sz w:val="22"/>
              </w:rPr>
              <w:t>Beat</w:t>
            </w:r>
          </w:p>
        </w:tc>
        <w:tc>
          <w:tcPr>
            <w:tcW w:type="dxa" w:w="960"/>
          </w:tcPr>
          <w:p>
            <w:r>
              <w:rPr>
                <w:rFonts w:ascii="Calibri" w:hAnsi="Calibri"/>
                <w:sz w:val="22"/>
              </w:rPr>
              <w:t>$8.764B</w:t>
            </w:r>
          </w:p>
        </w:tc>
        <w:tc>
          <w:tcPr>
            <w:tcW w:type="dxa" w:w="960"/>
          </w:tcPr>
          <w:p>
            <w:r>
              <w:rPr>
                <w:rFonts w:ascii="Calibri" w:hAnsi="Calibri"/>
                <w:sz w:val="22"/>
              </w:rPr>
              <w:t>$8.679B</w:t>
            </w:r>
          </w:p>
        </w:tc>
        <w:tc>
          <w:tcPr>
            <w:tcW w:type="dxa" w:w="960"/>
          </w:tcPr>
          <w:p>
            <w:r>
              <w:rPr>
                <w:rFonts w:ascii="Calibri" w:hAnsi="Calibri"/>
                <w:sz w:val="22"/>
              </w:rPr>
              <w:t>+1.0%</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$4.21</w:t>
            </w:r>
          </w:p>
        </w:tc>
        <w:tc>
          <w:tcPr>
            <w:tcW w:type="dxa" w:w="960"/>
          </w:tcPr>
          <w:p>
            <w:r>
              <w:rPr>
                <w:rFonts w:ascii="Calibri" w:hAnsi="Calibri"/>
                <w:sz w:val="22"/>
              </w:rPr>
              <w:t>$4.21</w:t>
            </w:r>
          </w:p>
        </w:tc>
        <w:tc>
          <w:tcPr>
            <w:tcW w:type="dxa" w:w="960"/>
          </w:tcPr>
          <w:p>
            <w:r>
              <w:rPr>
                <w:rFonts w:ascii="Calibri" w:hAnsi="Calibri"/>
                <w:sz w:val="22"/>
              </w:rPr>
              <w:t>0.0%</w:t>
            </w:r>
          </w:p>
        </w:tc>
        <w:tc>
          <w:tcPr>
            <w:tcW w:type="dxa" w:w="960"/>
          </w:tcPr>
          <w:p>
            <w:r>
              <w:rPr>
                <w:rFonts w:ascii="Calibri" w:hAnsi="Calibri"/>
                <w:sz w:val="22"/>
              </w:rPr>
              <w:t>In-Line</w:t>
            </w:r>
          </w:p>
        </w:tc>
        <w:tc>
          <w:tcPr>
            <w:tcW w:type="dxa" w:w="960"/>
          </w:tcPr>
          <w:p>
            <w:r>
              <w:rPr>
                <w:rFonts w:ascii="Calibri" w:hAnsi="Calibri"/>
                <w:sz w:val="22"/>
              </w:rPr>
              <w:t>$8.615B</w:t>
            </w:r>
          </w:p>
        </w:tc>
        <w:tc>
          <w:tcPr>
            <w:tcW w:type="dxa" w:w="960"/>
          </w:tcPr>
          <w:p>
            <w:r>
              <w:rPr>
                <w:rFonts w:ascii="Calibri" w:hAnsi="Calibri"/>
                <w:sz w:val="22"/>
              </w:rPr>
              <w:t>$8.616B</w:t>
            </w:r>
          </w:p>
        </w:tc>
        <w:tc>
          <w:tcPr>
            <w:tcW w:type="dxa" w:w="960"/>
          </w:tcPr>
          <w:p>
            <w:r>
              <w:rPr>
                <w:rFonts w:ascii="Calibri" w:hAnsi="Calibri"/>
                <w:sz w:val="22"/>
              </w:rPr>
              <w:t>0.0%</w:t>
            </w:r>
          </w:p>
        </w:tc>
        <w:tc>
          <w:tcPr>
            <w:tcW w:type="dxa" w:w="960"/>
          </w:tcPr>
          <w:p>
            <w:r>
              <w:rPr>
                <w:rFonts w:ascii="Calibri" w:hAnsi="Calibri"/>
                <w:sz w:val="22"/>
              </w:rPr>
              <w:t>In-Line</w:t>
            </w:r>
          </w:p>
        </w:tc>
      </w:tr>
      <w:tr>
        <w:tc>
          <w:tcPr>
            <w:tcW w:type="dxa" w:w="960"/>
          </w:tcPr>
          <w:p>
            <w:r>
              <w:rPr>
                <w:rFonts w:ascii="Calibri" w:hAnsi="Calibri"/>
                <w:sz w:val="22"/>
              </w:rPr>
              <w:t>Q2 2025</w:t>
            </w:r>
          </w:p>
        </w:tc>
        <w:tc>
          <w:tcPr>
            <w:tcW w:type="dxa" w:w="960"/>
          </w:tcPr>
          <w:p>
            <w:r>
              <w:rPr>
                <w:rFonts w:ascii="Calibri" w:hAnsi="Calibri"/>
                <w:sz w:val="22"/>
              </w:rPr>
              <w:t>$4.09</w:t>
            </w:r>
          </w:p>
        </w:tc>
        <w:tc>
          <w:tcPr>
            <w:tcW w:type="dxa" w:w="960"/>
          </w:tcPr>
          <w:p>
            <w:r>
              <w:rPr>
                <w:rFonts w:ascii="Calibri" w:hAnsi="Calibri"/>
                <w:sz w:val="22"/>
              </w:rPr>
              <w:t>$4.03</w:t>
            </w:r>
          </w:p>
        </w:tc>
        <w:tc>
          <w:tcPr>
            <w:tcW w:type="dxa" w:w="960"/>
          </w:tcPr>
          <w:p>
            <w:r>
              <w:rPr>
                <w:rFonts w:ascii="Calibri" w:hAnsi="Calibri"/>
                <w:sz w:val="22"/>
              </w:rPr>
              <w:t>+1.5%</w:t>
            </w:r>
          </w:p>
        </w:tc>
        <w:tc>
          <w:tcPr>
            <w:tcW w:type="dxa" w:w="960"/>
          </w:tcPr>
          <w:p>
            <w:r>
              <w:rPr>
                <w:rFonts w:ascii="Calibri" w:hAnsi="Calibri"/>
                <w:b/>
                <w:color w:val="30A46C"/>
                <w:sz w:val="22"/>
              </w:rPr>
              <w:t>Beat</w:t>
            </w:r>
          </w:p>
        </w:tc>
        <w:tc>
          <w:tcPr>
            <w:tcW w:type="dxa" w:w="960"/>
          </w:tcPr>
          <w:p>
            <w:r>
              <w:rPr>
                <w:rFonts w:ascii="Calibri" w:hAnsi="Calibri"/>
                <w:sz w:val="22"/>
              </w:rPr>
              <w:t>$8.495B</w:t>
            </w:r>
          </w:p>
        </w:tc>
        <w:tc>
          <w:tcPr>
            <w:tcW w:type="dxa" w:w="960"/>
          </w:tcPr>
          <w:p>
            <w:r>
              <w:rPr>
                <w:rFonts w:ascii="Calibri" w:hAnsi="Calibri"/>
                <w:sz w:val="22"/>
              </w:rPr>
              <w:t>$8.350B</w:t>
            </w:r>
          </w:p>
        </w:tc>
        <w:tc>
          <w:tcPr>
            <w:tcW w:type="dxa" w:w="960"/>
          </w:tcPr>
          <w:p>
            <w:r>
              <w:rPr>
                <w:rFonts w:ascii="Calibri" w:hAnsi="Calibri"/>
                <w:sz w:val="22"/>
              </w:rPr>
              <w:t>+1.7%</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$3.95</w:t>
            </w:r>
          </w:p>
        </w:tc>
        <w:tc>
          <w:tcPr>
            <w:tcW w:type="dxa" w:w="960"/>
          </w:tcPr>
          <w:p>
            <w:r>
              <w:rPr>
                <w:rFonts w:ascii="Calibri" w:hAnsi="Calibri"/>
                <w:sz w:val="22"/>
              </w:rPr>
              <w:t>$3.93</w:t>
            </w:r>
          </w:p>
        </w:tc>
        <w:tc>
          <w:tcPr>
            <w:tcW w:type="dxa" w:w="960"/>
          </w:tcPr>
          <w:p>
            <w:r>
              <w:rPr>
                <w:rFonts w:ascii="Calibri" w:hAnsi="Calibri"/>
                <w:sz w:val="22"/>
              </w:rPr>
              <w:t>+0.5%</w:t>
            </w:r>
          </w:p>
        </w:tc>
        <w:tc>
          <w:tcPr>
            <w:tcW w:type="dxa" w:w="960"/>
          </w:tcPr>
          <w:p>
            <w:r>
              <w:rPr>
                <w:rFonts w:ascii="Calibri" w:hAnsi="Calibri"/>
                <w:b/>
                <w:color w:val="30A46C"/>
                <w:sz w:val="22"/>
              </w:rPr>
              <w:t>Beat</w:t>
            </w:r>
          </w:p>
        </w:tc>
        <w:tc>
          <w:tcPr>
            <w:tcW w:type="dxa" w:w="960"/>
          </w:tcPr>
          <w:p>
            <w:r>
              <w:rPr>
                <w:rFonts w:ascii="Calibri" w:hAnsi="Calibri"/>
                <w:sz w:val="22"/>
              </w:rPr>
              <w:t>$8.112B</w:t>
            </w:r>
          </w:p>
        </w:tc>
        <w:tc>
          <w:tcPr>
            <w:tcW w:type="dxa" w:w="960"/>
          </w:tcPr>
          <w:p>
            <w:r>
              <w:rPr>
                <w:rFonts w:ascii="Calibri" w:hAnsi="Calibri"/>
                <w:sz w:val="22"/>
              </w:rPr>
              <w:t>$8.199B</w:t>
            </w:r>
          </w:p>
        </w:tc>
        <w:tc>
          <w:tcPr>
            <w:tcW w:type="dxa" w:w="960"/>
          </w:tcPr>
          <w:p>
            <w:r>
              <w:rPr>
                <w:rFonts w:ascii="Calibri" w:hAnsi="Calibri"/>
                <w:sz w:val="22"/>
              </w:rPr>
              <w:t>-1.1%</w:t>
            </w:r>
          </w:p>
        </w:tc>
        <w:tc>
          <w:tcPr>
            <w:tcW w:type="dxa" w:w="960"/>
          </w:tcPr>
          <w:p>
            <w:r>
              <w:rPr>
                <w:rFonts w:ascii="Calibri" w:hAnsi="Calibri"/>
                <w:b/>
                <w:color w:val="E5484D"/>
                <w:sz w:val="22"/>
              </w:rPr>
              <w:t>Miss</w:t>
            </w:r>
          </w:p>
        </w:tc>
      </w:tr>
      <w:tr>
        <w:tc>
          <w:tcPr>
            <w:tcW w:type="dxa" w:w="960"/>
          </w:tcPr>
          <w:p>
            <w:r>
              <w:rPr>
                <w:rFonts w:ascii="Calibri" w:hAnsi="Calibri"/>
                <w:sz w:val="22"/>
              </w:rPr>
              <w:t>Q4 2024</w:t>
            </w:r>
          </w:p>
        </w:tc>
        <w:tc>
          <w:tcPr>
            <w:tcW w:type="dxa" w:w="960"/>
          </w:tcPr>
          <w:p>
            <w:r>
              <w:rPr>
                <w:rFonts w:ascii="Calibri" w:hAnsi="Calibri"/>
                <w:sz w:val="22"/>
              </w:rPr>
              <w:t>$3.97</w:t>
            </w:r>
          </w:p>
        </w:tc>
        <w:tc>
          <w:tcPr>
            <w:tcW w:type="dxa" w:w="960"/>
          </w:tcPr>
          <w:p>
            <w:r>
              <w:rPr>
                <w:rFonts w:ascii="Calibri" w:hAnsi="Calibri"/>
                <w:sz w:val="22"/>
              </w:rPr>
              <w:t>$3.93</w:t>
            </w:r>
          </w:p>
        </w:tc>
        <w:tc>
          <w:tcPr>
            <w:tcW w:type="dxa" w:w="960"/>
          </w:tcPr>
          <w:p>
            <w:r>
              <w:rPr>
                <w:rFonts w:ascii="Calibri" w:hAnsi="Calibri"/>
                <w:sz w:val="22"/>
              </w:rPr>
              <w:t>+1.0%</w:t>
            </w:r>
          </w:p>
        </w:tc>
        <w:tc>
          <w:tcPr>
            <w:tcW w:type="dxa" w:w="960"/>
          </w:tcPr>
          <w:p>
            <w:r>
              <w:rPr>
                <w:rFonts w:ascii="Calibri" w:hAnsi="Calibri"/>
                <w:b/>
                <w:color w:val="30A46C"/>
                <w:sz w:val="22"/>
              </w:rPr>
              <w:t>Beat</w:t>
            </w:r>
          </w:p>
        </w:tc>
        <w:tc>
          <w:tcPr>
            <w:tcW w:type="dxa" w:w="960"/>
          </w:tcPr>
          <w:p>
            <w:r>
              <w:rPr>
                <w:rFonts w:ascii="Calibri" w:hAnsi="Calibri"/>
                <w:sz w:val="22"/>
              </w:rPr>
              <w:t>$8.282B</w:t>
            </w:r>
          </w:p>
        </w:tc>
        <w:tc>
          <w:tcPr>
            <w:tcW w:type="dxa" w:w="960"/>
          </w:tcPr>
          <w:p>
            <w:r>
              <w:rPr>
                <w:rFonts w:ascii="Calibri" w:hAnsi="Calibri"/>
                <w:sz w:val="22"/>
              </w:rPr>
              <w:t>$8.376B</w:t>
            </w:r>
          </w:p>
        </w:tc>
        <w:tc>
          <w:tcPr>
            <w:tcW w:type="dxa" w:w="960"/>
          </w:tcPr>
          <w:p>
            <w:r>
              <w:rPr>
                <w:rFonts w:ascii="Calibri" w:hAnsi="Calibri"/>
                <w:sz w:val="22"/>
              </w:rPr>
              <w:t>-1.1%</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$3.94</w:t>
            </w:r>
          </w:p>
        </w:tc>
        <w:tc>
          <w:tcPr>
            <w:tcW w:type="dxa" w:w="960"/>
          </w:tcPr>
          <w:p>
            <w:r>
              <w:rPr>
                <w:rFonts w:ascii="Calibri" w:hAnsi="Calibri"/>
                <w:sz w:val="22"/>
              </w:rPr>
              <w:t>$3.92</w:t>
            </w:r>
          </w:p>
        </w:tc>
        <w:tc>
          <w:tcPr>
            <w:tcW w:type="dxa" w:w="960"/>
          </w:tcPr>
          <w:p>
            <w:r>
              <w:rPr>
                <w:rFonts w:ascii="Calibri" w:hAnsi="Calibri"/>
                <w:sz w:val="22"/>
              </w:rPr>
              <w:t>+0.5%</w:t>
            </w:r>
          </w:p>
        </w:tc>
        <w:tc>
          <w:tcPr>
            <w:tcW w:type="dxa" w:w="960"/>
          </w:tcPr>
          <w:p>
            <w:r>
              <w:rPr>
                <w:rFonts w:ascii="Calibri" w:hAnsi="Calibri"/>
                <w:b/>
                <w:color w:val="30A46C"/>
                <w:sz w:val="22"/>
              </w:rPr>
              <w:t>Beat</w:t>
            </w:r>
          </w:p>
        </w:tc>
        <w:tc>
          <w:tcPr>
            <w:tcW w:type="dxa" w:w="960"/>
          </w:tcPr>
          <w:p>
            <w:r>
              <w:rPr>
                <w:rFonts w:ascii="Calibri" w:hAnsi="Calibri"/>
                <w:sz w:val="22"/>
              </w:rPr>
              <w:t>$8.356B</w:t>
            </w:r>
          </w:p>
        </w:tc>
        <w:tc>
          <w:tcPr>
            <w:tcW w:type="dxa" w:w="960"/>
          </w:tcPr>
          <w:p>
            <w:r>
              <w:rPr>
                <w:rFonts w:ascii="Calibri" w:hAnsi="Calibri"/>
                <w:sz w:val="22"/>
              </w:rPr>
              <w:t>$8.351B</w:t>
            </w:r>
          </w:p>
        </w:tc>
        <w:tc>
          <w:tcPr>
            <w:tcW w:type="dxa" w:w="960"/>
          </w:tcPr>
          <w:p>
            <w:r>
              <w:rPr>
                <w:rFonts w:ascii="Calibri" w:hAnsi="Calibri"/>
                <w:sz w:val="22"/>
              </w:rPr>
              <w:t>+0.1%</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LIN has beaten EPS consensus in 7 of the last 8 quarters, with beats consistently modest (+0.5% to +1.6%) — management guides conservatively and delivers at or above the top end. Revenue beats are less consistent (5 of 8), with misses concentrated in quarters where FX or European volumes disappointed. Source: Visible Alpha Consensus and Actuals Data.</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post-earnings guidance revisions have been issued since the May 1 Q1 2026 call. The initial Q2 and full-year ranges remain in force; tone is cautiously optimistic with helium upside held in reserve and the top end of FY guidance deliberately withheld pending geopolitical clarity.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May 1, 2026)</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Q2 2026 Adj. EPS</w:t>
            </w:r>
          </w:p>
        </w:tc>
        <w:tc>
          <w:tcPr>
            <w:tcW w:type="dxa" w:w="1728"/>
          </w:tcPr>
          <w:p>
            <w:r>
              <w:rPr>
                <w:rFonts w:ascii="Calibri" w:hAnsi="Calibri"/>
                <w:sz w:val="22"/>
              </w:rPr>
              <w:t>$4.40–$4.50 (8–10% growth); includes 1% FX tailwind; assumes no economic improvement at midpoint</w:t>
            </w:r>
          </w:p>
        </w:tc>
        <w:tc>
          <w:tcPr>
            <w:tcW w:type="dxa" w:w="1728"/>
          </w:tcPr>
          <w:p>
            <w:r>
              <w:rPr>
                <w:rFonts w:ascii="Calibri" w:hAnsi="Calibri"/>
                <w:sz w:val="22"/>
              </w:rPr>
              <w:t>—</w:t>
            </w:r>
          </w:p>
        </w:tc>
        <w:tc>
          <w:tcPr>
            <w:tcW w:type="dxa" w:w="1728"/>
          </w:tcPr>
          <w:p>
            <w:r>
              <w:rPr>
                <w:rFonts w:ascii="Calibri" w:hAnsi="Calibri"/>
                <w:sz w:val="22"/>
              </w:rPr>
              <w:t>$4.48</w:t>
            </w:r>
          </w:p>
        </w:tc>
        <w:tc>
          <w:tcPr>
            <w:tcW w:type="dxa" w:w="1728"/>
          </w:tcPr>
          <w:p>
            <w:r>
              <w:rPr>
                <w:rFonts w:ascii="Calibri" w:hAnsi="Calibri"/>
                <w:sz w:val="22"/>
              </w:rPr>
              <w:t>No post-earnings update; consensus at midpoint of range</w:t>
            </w:r>
          </w:p>
        </w:tc>
      </w:tr>
      <w:tr>
        <w:tc>
          <w:tcPr>
            <w:tcW w:type="dxa" w:w="1728"/>
          </w:tcPr>
          <w:p>
            <w:r>
              <w:rPr>
                <w:rFonts w:ascii="Calibri" w:hAnsi="Calibri"/>
                <w:sz w:val="22"/>
              </w:rPr>
              <w:t>FY 2026 Adj. EPS</w:t>
            </w:r>
          </w:p>
        </w:tc>
        <w:tc>
          <w:tcPr>
            <w:tcW w:type="dxa" w:w="1728"/>
          </w:tcPr>
          <w:p>
            <w:r>
              <w:rPr>
                <w:rFonts w:ascii="Calibri" w:hAnsi="Calibri"/>
                <w:sz w:val="22"/>
              </w:rPr>
              <w:t>$17.60–$17.90 (7–9% growth); raised bottom by $0.20 vs. prior guidance; top held at $17.90; includes 1% FX tailwind; no helium improvement assumed</w:t>
            </w:r>
          </w:p>
        </w:tc>
        <w:tc>
          <w:tcPr>
            <w:tcW w:type="dxa" w:w="1728"/>
          </w:tcPr>
          <w:p>
            <w:r>
              <w:rPr>
                <w:rFonts w:ascii="Calibri" w:hAnsi="Calibri"/>
                <w:sz w:val="22"/>
              </w:rPr>
              <w:t>—</w:t>
            </w:r>
          </w:p>
        </w:tc>
        <w:tc>
          <w:tcPr>
            <w:tcW w:type="dxa" w:w="1728"/>
          </w:tcPr>
          <w:p>
            <w:r>
              <w:rPr>
                <w:rFonts w:ascii="Calibri" w:hAnsi="Calibri"/>
                <w:sz w:val="22"/>
              </w:rPr>
              <w:t>$17.86</w:t>
            </w:r>
          </w:p>
        </w:tc>
        <w:tc>
          <w:tcPr>
            <w:tcW w:type="dxa" w:w="1728"/>
          </w:tcPr>
          <w:p>
            <w:r>
              <w:rPr>
                <w:rFonts w:ascii="Calibri" w:hAnsi="Calibri"/>
                <w:sz w:val="22"/>
              </w:rPr>
              <w:t>No post-earnings update; management cited desire for “a few more months” of geopolitical clarity before raising top end</w:t>
            </w:r>
          </w:p>
        </w:tc>
      </w:tr>
      <w:tr>
        <w:tc>
          <w:tcPr>
            <w:tcW w:type="dxa" w:w="1728"/>
          </w:tcPr>
          <w:p>
            <w:r>
              <w:rPr>
                <w:rFonts w:ascii="Calibri" w:hAnsi="Calibri"/>
                <w:sz w:val="22"/>
              </w:rPr>
              <w:t>Helium</w:t>
            </w:r>
          </w:p>
        </w:tc>
        <w:tc>
          <w:tcPr>
            <w:tcW w:type="dxa" w:w="1728"/>
          </w:tcPr>
          <w:p>
            <w:r>
              <w:rPr>
                <w:rFonts w:ascii="Calibri" w:hAnsi="Calibri"/>
                <w:sz w:val="22"/>
              </w:rPr>
              <w:t>Excluded from all guidance; framed as “pure upside”; priority is securing new long-term contracts, not spot sales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Acute global shortages from Strait of Hormuz/Iran conflict and Russian supply disruptions; any incremental volumes or price = upside to guidance</w:t>
            </w:r>
          </w:p>
        </w:tc>
      </w:tr>
      <w:tr>
        <w:tc>
          <w:tcPr>
            <w:tcW w:type="dxa" w:w="1728"/>
          </w:tcPr>
          <w:p>
            <w:r>
              <w:rPr>
                <w:rFonts w:ascii="Calibri" w:hAnsi="Calibri"/>
                <w:sz w:val="22"/>
              </w:rPr>
              <w:t>Sale of Gas Backlog</w:t>
            </w:r>
          </w:p>
        </w:tc>
        <w:tc>
          <w:tcPr>
            <w:tcW w:type="dxa" w:w="1728"/>
          </w:tcPr>
          <w:p>
            <w:r>
              <w:rPr>
                <w:rFonts w:ascii="Calibri" w:hAnsi="Calibri"/>
                <w:sz w:val="22"/>
              </w:rPr>
              <w:t>$7.1B at Q1 end; management expects “8-handle” by year-end; high confidence in announcing substantial new electronics projects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Woodside ATR/TNS slipped to Q1 2027; nitrogen portion on track for mid-2026 startup</w:t>
            </w:r>
          </w:p>
        </w:tc>
      </w:tr>
      <w:tr>
        <w:tc>
          <w:tcPr>
            <w:tcW w:type="dxa" w:w="1728"/>
          </w:tcPr>
          <w:p>
            <w:r>
              <w:rPr>
                <w:rFonts w:ascii="Calibri" w:hAnsi="Calibri"/>
                <w:sz w:val="22"/>
              </w:rPr>
              <w:t>EMEA Volumes</w:t>
            </w:r>
          </w:p>
        </w:tc>
        <w:tc>
          <w:tcPr>
            <w:tcW w:type="dxa" w:w="1728"/>
          </w:tcPr>
          <w:p>
            <w:r>
              <w:rPr>
                <w:rFonts w:ascii="Calibri" w:hAnsi="Calibri"/>
                <w:sz w:val="22"/>
              </w:rPr>
              <w:t>Continued weakness; direct and indirect Middle East conflict impacts; no recovery expected without a catalyst (import restrictions or IAA spending)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unchanged; management explicitly stated a catalyst is needed for a major shift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has drifted up just +0.05% and FY EPS +0.26% since the post-earnings baseline, tracking guidance almost exactly. The gap between consensus and guidance midpoint is negligible, suggesting the Street is not pricing in helium upside or a top-end guidance raise.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&amp; Period</w:t>
            </w:r>
          </w:p>
        </w:tc>
        <w:tc>
          <w:tcPr>
            <w:tcW w:type="dxa" w:w="1080"/>
          </w:tcPr>
          <w:p>
            <w:r>
              <w:rPr>
                <w:rFonts w:ascii="Calibri" w:hAnsi="Calibri"/>
                <w:b/>
                <w:sz w:val="22"/>
              </w:rPr>
              <w:t>Estimate ~5 Days Post Q1 Earnings (May 8, 2026)</w:t>
            </w:r>
          </w:p>
        </w:tc>
        <w:tc>
          <w:tcPr>
            <w:tcW w:type="dxa" w:w="1080"/>
          </w:tcPr>
          <w:p>
            <w:r>
              <w:rPr>
                <w:rFonts w:ascii="Calibri" w:hAnsi="Calibri"/>
                <w:b/>
                <w:sz w:val="22"/>
              </w:rPr>
              <w:t>Current Consensus (July 30,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$4.478</w:t>
            </w:r>
          </w:p>
        </w:tc>
        <w:tc>
          <w:tcPr>
            <w:tcW w:type="dxa" w:w="1080"/>
          </w:tcPr>
          <w:p>
            <w:r>
              <w:rPr>
                <w:rFonts w:ascii="Calibri" w:hAnsi="Calibri"/>
                <w:sz w:val="22"/>
              </w:rPr>
              <w:t>$4.480</w:t>
            </w:r>
          </w:p>
        </w:tc>
        <w:tc>
          <w:tcPr>
            <w:tcW w:type="dxa" w:w="1080"/>
          </w:tcPr>
          <w:p>
            <w:r>
              <w:rPr>
                <w:rFonts w:ascii="Calibri" w:hAnsi="Calibri"/>
                <w:sz w:val="22"/>
              </w:rPr>
              <w:t>+0.05%</w:t>
            </w:r>
          </w:p>
        </w:tc>
        <w:tc>
          <w:tcPr>
            <w:tcW w:type="dxa" w:w="1080"/>
          </w:tcPr>
          <w:p>
            <w:r>
              <w:rPr>
                <w:rFonts w:ascii="Calibri" w:hAnsi="Calibri"/>
                <w:sz w:val="22"/>
              </w:rPr>
              <w:t>$4.40–$4.50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vs. $4.45 mid</w:t>
            </w:r>
          </w:p>
        </w:tc>
      </w:tr>
      <w:tr>
        <w:tc>
          <w:tcPr>
            <w:tcW w:type="dxa" w:w="1080"/>
          </w:tcPr>
          <w:p>
            <w:r>
              <w:rPr>
                <w:rFonts w:ascii="Calibri" w:hAnsi="Calibri"/>
                <w:sz w:val="22"/>
              </w:rPr>
              <w:t>Adj. EPS — FY 2026</w:t>
            </w:r>
          </w:p>
        </w:tc>
        <w:tc>
          <w:tcPr>
            <w:tcW w:type="dxa" w:w="1080"/>
          </w:tcPr>
          <w:p>
            <w:r>
              <w:rPr>
                <w:rFonts w:ascii="Calibri" w:hAnsi="Calibri"/>
                <w:sz w:val="22"/>
              </w:rPr>
              <w:t>$17.812</w:t>
            </w:r>
          </w:p>
        </w:tc>
        <w:tc>
          <w:tcPr>
            <w:tcW w:type="dxa" w:w="1080"/>
          </w:tcPr>
          <w:p>
            <w:r>
              <w:rPr>
                <w:rFonts w:ascii="Calibri" w:hAnsi="Calibri"/>
                <w:sz w:val="22"/>
              </w:rPr>
              <w:t>$17.859</w:t>
            </w:r>
          </w:p>
        </w:tc>
        <w:tc>
          <w:tcPr>
            <w:tcW w:type="dxa" w:w="1080"/>
          </w:tcPr>
          <w:p>
            <w:r>
              <w:rPr>
                <w:rFonts w:ascii="Calibri" w:hAnsi="Calibri"/>
                <w:sz w:val="22"/>
              </w:rPr>
              <w:t>+0.26%</w:t>
            </w:r>
          </w:p>
        </w:tc>
        <w:tc>
          <w:tcPr>
            <w:tcW w:type="dxa" w:w="1080"/>
          </w:tcPr>
          <w:p>
            <w:r>
              <w:rPr>
                <w:rFonts w:ascii="Calibri" w:hAnsi="Calibri"/>
                <w:sz w:val="22"/>
              </w:rPr>
              <w:t>$17.60–$17.90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$17.75 mid</w:t>
            </w:r>
          </w:p>
        </w:tc>
      </w:tr>
      <w:tr>
        <w:tc>
          <w:tcPr>
            <w:tcW w:type="dxa" w:w="1080"/>
          </w:tcPr>
          <w:p>
            <w:r>
              <w:rPr>
                <w:rFonts w:ascii="Calibri" w:hAnsi="Calibri"/>
                <w:sz w:val="22"/>
              </w:rPr>
              <w:t>Total Revenue — Q2 2026</w:t>
            </w:r>
          </w:p>
        </w:tc>
        <w:tc>
          <w:tcPr>
            <w:tcW w:type="dxa" w:w="1080"/>
          </w:tcPr>
          <w:p>
            <w:r>
              <w:rPr>
                <w:rFonts w:ascii="Calibri" w:hAnsi="Calibri"/>
                <w:sz w:val="22"/>
              </w:rPr>
              <w:t>$8.981B</w:t>
            </w:r>
          </w:p>
        </w:tc>
        <w:tc>
          <w:tcPr>
            <w:tcW w:type="dxa" w:w="1080"/>
          </w:tcPr>
          <w:p>
            <w:r>
              <w:rPr>
                <w:rFonts w:ascii="Calibri" w:hAnsi="Calibri"/>
                <w:sz w:val="22"/>
              </w:rPr>
              <w:t>$9.012B</w:t>
            </w:r>
          </w:p>
        </w:tc>
        <w:tc>
          <w:tcPr>
            <w:tcW w:type="dxa" w:w="1080"/>
          </w:tcPr>
          <w:p>
            <w:r>
              <w:rPr>
                <w:rFonts w:ascii="Calibri" w:hAnsi="Calibri"/>
                <w:sz w:val="22"/>
              </w:rPr>
              <w:t>+0.35%</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$35.947B</w:t>
            </w:r>
          </w:p>
        </w:tc>
        <w:tc>
          <w:tcPr>
            <w:tcW w:type="dxa" w:w="1080"/>
          </w:tcPr>
          <w:p>
            <w:r>
              <w:rPr>
                <w:rFonts w:ascii="Calibri" w:hAnsi="Calibri"/>
                <w:sz w:val="22"/>
              </w:rPr>
              <w:t>$36.022B</w:t>
            </w:r>
          </w:p>
        </w:tc>
        <w:tc>
          <w:tcPr>
            <w:tcW w:type="dxa" w:w="1080"/>
          </w:tcPr>
          <w:p>
            <w:r>
              <w:rPr>
                <w:rFonts w:ascii="Calibri" w:hAnsi="Calibri"/>
                <w:sz w:val="22"/>
              </w:rPr>
              <w:t>+0.21%</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Profit — Q2 2026</w:t>
            </w:r>
          </w:p>
        </w:tc>
        <w:tc>
          <w:tcPr>
            <w:tcW w:type="dxa" w:w="1080"/>
          </w:tcPr>
          <w:p>
            <w:r>
              <w:rPr>
                <w:rFonts w:ascii="Calibri" w:hAnsi="Calibri"/>
                <w:sz w:val="22"/>
              </w:rPr>
              <w:t>$2.724B</w:t>
            </w:r>
          </w:p>
        </w:tc>
        <w:tc>
          <w:tcPr>
            <w:tcW w:type="dxa" w:w="1080"/>
          </w:tcPr>
          <w:p>
            <w:r>
              <w:rPr>
                <w:rFonts w:ascii="Calibri" w:hAnsi="Calibri"/>
                <w:sz w:val="22"/>
              </w:rPr>
              <w:t>$2.723B</w:t>
            </w:r>
          </w:p>
        </w:tc>
        <w:tc>
          <w:tcPr>
            <w:tcW w:type="dxa" w:w="1080"/>
          </w:tcPr>
          <w:p>
            <w:r>
              <w:rPr>
                <w:rFonts w:ascii="Calibri" w:hAnsi="Calibri"/>
                <w:sz w:val="22"/>
              </w:rPr>
              <w:t>-0.04%</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color w:val="525866"/>
          <w:sz w:val="22"/>
        </w:rPr>
        <w:t>Estimates have been essentially flat since the Q1 print, with the Street tracking guidance almost exactly. The absence of upward revision momentum suggests the market is not pricing in helium upside or a top-end guidance raise — both of which represent potential positive catalysts on the Q2 call.</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LIN has outperformed XLB (Materials ETF) since the Q1 2026 earnings date but lagged the S&amp;P 500. The ~7% gain from the May 1 earnings date to July 30 was driven primarily by multiple expansion (EV/EBITDA expanded ~+1.4% over 3 months) rather than upward EPS revisions, which were essentially flat — suggesting the stock’s re-rating reflects improved sentiment around helium upside and backlog momentum rather than fundamental estimate upgrades.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LIN vs. XLB vs. S&amp;P 500 — Indexed to 100 at Q1 2026 Earnings Date (May 1, 2026). Sector ETF: XLB (Materials Select Sector SPDR), appropriate for LIN’s industrial gases / specialty chemicals sub-sector. Source: Stock Price Data (Yahoo Finance).</w:t>
      </w:r>
    </w:p>
    <w:p>
      <w:r>
        <w:rPr>
          <w:rFonts w:ascii="Calibri" w:hAnsi="Calibri"/>
          <w:b/>
          <w:color w:val="525866"/>
          <w:sz w:val="22"/>
        </w:rPr>
        <w:t>Key events since May 1, 2026:</w:t>
      </w:r>
    </w:p>
    <w:p>
      <w:pPr>
        <w:pStyle w:val="ListBullet"/>
        <w:ind w:left="360" w:hanging="360"/>
      </w:pPr>
      <w:r>
        <w:rPr>
          <w:rFonts w:ascii="Calibri" w:hAnsi="Calibri"/>
          <w:b/>
          <w:color w:val="525866"/>
          <w:sz w:val="22"/>
        </w:rPr>
        <w:t xml:space="preserve">May 13, 2026: </w:t>
      </w:r>
      <w:r>
        <w:rPr>
          <w:rFonts w:ascii="Calibri" w:hAnsi="Calibri"/>
          <w:color w:val="525866"/>
          <w:sz w:val="22"/>
        </w:rPr>
        <w:t>Linde issued €1.6B in new debt (8-K). Modest positive signal on balance sheet confidence; no material stock impact.</w:t>
      </w:r>
    </w:p>
    <w:p>
      <w:pPr>
        <w:pStyle w:val="ListBullet"/>
        <w:ind w:left="360" w:hanging="360"/>
      </w:pPr>
      <w:r>
        <w:rPr>
          <w:rFonts w:ascii="Calibri" w:hAnsi="Calibri"/>
          <w:b/>
          <w:color w:val="525866"/>
          <w:sz w:val="22"/>
        </w:rPr>
        <w:t xml:space="preserve">July 1, 2026: </w:t>
      </w:r>
      <w:r>
        <w:rPr>
          <w:rFonts w:ascii="Calibri" w:hAnsi="Calibri"/>
          <w:color w:val="525866"/>
          <w:sz w:val="22"/>
        </w:rPr>
        <w:t>Linde announced Q2 2026 earnings and conference call schedule (July 31, 2026). Stock rallied ~2.8% in the days following, likely on anticipation of helium commentary.</w:t>
      </w:r>
    </w:p>
    <w:p>
      <w:pPr>
        <w:pStyle w:val="ListBullet"/>
        <w:ind w:left="360" w:hanging="360"/>
      </w:pPr>
      <w:r>
        <w:rPr>
          <w:rFonts w:ascii="Calibri" w:hAnsi="Calibri"/>
          <w:b/>
          <w:color w:val="525866"/>
          <w:sz w:val="22"/>
        </w:rPr>
        <w:t xml:space="preserve">July 2, 2026: </w:t>
      </w:r>
      <w:r>
        <w:rPr>
          <w:rFonts w:ascii="Calibri" w:hAnsi="Calibri"/>
          <w:color w:val="525866"/>
          <w:sz w:val="22"/>
        </w:rPr>
        <w:t>Stock reached its post-earnings high of ~$546.64, up ~7.6% from the earnings date.</w:t>
      </w:r>
    </w:p>
    <w:p>
      <w:pPr>
        <w:pStyle w:val="ListBullet"/>
        <w:ind w:left="360" w:hanging="360"/>
      </w:pPr>
      <w:r>
        <w:rPr>
          <w:rFonts w:ascii="Calibri" w:hAnsi="Calibri"/>
          <w:b/>
          <w:color w:val="525866"/>
          <w:sz w:val="22"/>
        </w:rPr>
        <w:t xml:space="preserve">July 30, 2026 (AGM): </w:t>
      </w:r>
      <w:r>
        <w:rPr>
          <w:rFonts w:ascii="Calibri" w:hAnsi="Calibri"/>
          <w:color w:val="525866"/>
          <w:sz w:val="22"/>
        </w:rPr>
        <w:t>Shareholders approved directors, auditor, and executive pay; rejected a renewable energy report. No material governance surprise.</w:t>
      </w:r>
    </w:p>
    <w:p>
      <w:pPr>
        <w:pStyle w:val="Heading2"/>
      </w:pPr>
      <w:r>
        <w:rPr>
          <w:rFonts w:ascii="Calibri" w:hAnsi="Calibri"/>
          <w:b/>
          <w:color w:val="3B4259"/>
          <w:sz w:val="28"/>
        </w:rPr>
        <w:t>6. Peer Commentary &amp; Current-Quarter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LIN’s Q2 2026 print. Direct peer Air Products (APD) reported strong Q3 FY2026 results on July 30 with electronics as the primary growth driver and Americas volumes robust — both directly applicable to LIN’s highest-growth segments. Downstream industrial indicators (Dow, Nucor, Steel Dynamics, Ecolab) confirm resilient Americas demand, accelerating electronics/AI infrastructure spend, and sustained pricing power, while European industrial weakness remains a shared headwind.</w:t>
      </w:r>
    </w:p>
    <w:p>
      <w:pPr>
        <w:pStyle w:val="Heading3"/>
      </w:pPr>
      <w:r>
        <w:rPr>
          <w:rFonts w:ascii="Calibri" w:hAnsi="Calibri"/>
          <w:b/>
          <w:color w:val="3B4259"/>
          <w:sz w:val="24"/>
        </w:rPr>
        <w:t>Direct Industrial Gas Peer</w:t>
      </w:r>
    </w:p>
    <w:p>
      <w:pPr>
        <w:pStyle w:val="Heading4"/>
      </w:pPr>
      <w:r>
        <w:rPr>
          <w:rFonts w:ascii="Calibri" w:hAnsi="Calibri"/>
          <w:b/>
          <w:color w:val="3B4259"/>
          <w:sz w:val="22"/>
        </w:rPr>
        <w:t>Air Products (APD) — Q3 FY2026 Earnings (Reported July 30, 2026)</w:t>
      </w:r>
    </w:p>
    <w:p>
      <w:r>
        <w:rPr>
          <w:rFonts w:ascii="Calibri" w:hAnsi="Calibri"/>
          <w:b/>
          <w:color w:val="525866"/>
          <w:sz w:val="22"/>
        </w:rPr>
        <w:t xml:space="preserve">Read-Through Relevance: </w:t>
      </w:r>
      <w:r>
        <w:rPr>
          <w:rFonts w:ascii="Calibri" w:hAnsi="Calibri"/>
          <w:color w:val="525866"/>
          <w:sz w:val="22"/>
        </w:rPr>
        <w:t>High — direct industrial gas peer operating in the same end markets and geographies.</w:t>
      </w:r>
    </w:p>
    <w:p>
      <w:pPr>
        <w:pStyle w:val="ListBullet"/>
        <w:ind w:left="360" w:hanging="360"/>
      </w:pPr>
      <w:r>
        <w:rPr>
          <w:rFonts w:ascii="Calibri" w:hAnsi="Calibri"/>
          <w:b/>
          <w:color w:val="525866"/>
          <w:sz w:val="22"/>
        </w:rPr>
        <w:t xml:space="preserve">Volumes &amp; Guidance Beat: </w:t>
      </w:r>
      <w:r>
        <w:rPr>
          <w:rFonts w:ascii="Calibri" w:hAnsi="Calibri"/>
          <w:color w:val="525866"/>
          <w:sz w:val="22"/>
        </w:rPr>
        <w:t xml:space="preserve">APD reported Q3 FY2026 EPS of $3.47 vs. consensus $3.34 (+3.9% beat), driven by 110bps of operating margin expansion YoY. Q4 FY2026 EPS guidance of ~$3.60 exceeded Street expectations of $3.52. Full-year FY2026 guidance raised to $13.39–$13.49 (11–12% growth). </w:t>
      </w:r>
      <w:r>
        <w:rPr>
          <w:rFonts w:ascii="Calibri" w:hAnsi="Calibri"/>
          <w:b/>
          <w:color w:val="525866"/>
          <w:sz w:val="22"/>
        </w:rPr>
        <w:t xml:space="preserve">→ Positive read-through: </w:t>
      </w:r>
      <w:r>
        <w:rPr>
          <w:rFonts w:ascii="Calibri" w:hAnsi="Calibri"/>
          <w:color w:val="525866"/>
          <w:sz w:val="22"/>
        </w:rPr>
        <w:t>Suggests the industrial gas pricing/volume environment is supportive of LIN delivering at or above the top of its Q2 guidance range.</w:t>
      </w:r>
    </w:p>
    <w:p>
      <w:pPr>
        <w:pStyle w:val="ListBullet"/>
        <w:ind w:left="360" w:hanging="360"/>
      </w:pPr>
      <w:r>
        <w:rPr>
          <w:rFonts w:ascii="Calibri" w:hAnsi="Calibri"/>
          <w:b/>
          <w:color w:val="525866"/>
          <w:sz w:val="22"/>
        </w:rPr>
        <w:t xml:space="preserve">Americas Strength: </w:t>
      </w:r>
      <w:r>
        <w:rPr>
          <w:rFonts w:ascii="Calibri" w:hAnsi="Calibri"/>
          <w:color w:val="525866"/>
          <w:sz w:val="22"/>
        </w:rPr>
        <w:t xml:space="preserve">Americas operating income +6%, driven by on-site volume growth from HyCO facilities and a new Gulf Coast hydrogen pipeline asset. Merchant market “progressing relatively well, still growing.” </w:t>
      </w:r>
      <w:r>
        <w:rPr>
          <w:rFonts w:ascii="Calibri" w:hAnsi="Calibri"/>
          <w:b/>
          <w:color w:val="525866"/>
          <w:sz w:val="22"/>
        </w:rPr>
        <w:t xml:space="preserve">→ Positive read-through: </w:t>
      </w:r>
      <w:r>
        <w:rPr>
          <w:rFonts w:ascii="Calibri" w:hAnsi="Calibri"/>
          <w:color w:val="525866"/>
          <w:sz w:val="22"/>
        </w:rPr>
        <w:t>Directly corroborates LIN management’s bullish tone on Americas, particularly U.S. Gulf Coast refining and Latin American upstream energy.</w:t>
      </w:r>
    </w:p>
    <w:p>
      <w:pPr>
        <w:pStyle w:val="ListBullet"/>
        <w:ind w:left="360" w:hanging="360"/>
      </w:pPr>
      <w:r>
        <w:rPr>
          <w:rFonts w:ascii="Calibri" w:hAnsi="Calibri"/>
          <w:b/>
          <w:color w:val="525866"/>
          <w:sz w:val="22"/>
        </w:rPr>
        <w:t xml:space="preserve">Electronics as Primary Growth Engine: </w:t>
      </w:r>
      <w:r>
        <w:rPr>
          <w:rFonts w:ascii="Calibri" w:hAnsi="Calibri"/>
          <w:color w:val="525866"/>
          <w:sz w:val="22"/>
        </w:rPr>
        <w:t xml:space="preserve">APD stated “close to two-thirds of our opportunities or more are in the electronic space” and “electronics is really where the growth is.” Over $1.5B in new electronics project wins in the last six months. “Green shoots in Asia, specifically in the electronic space.” </w:t>
      </w:r>
      <w:r>
        <w:rPr>
          <w:rFonts w:ascii="Calibri" w:hAnsi="Calibri"/>
          <w:b/>
          <w:color w:val="525866"/>
          <w:sz w:val="22"/>
        </w:rPr>
        <w:t xml:space="preserve">→ Strong positive read-through: </w:t>
      </w:r>
      <w:r>
        <w:rPr>
          <w:rFonts w:ascii="Calibri" w:hAnsi="Calibri"/>
          <w:color w:val="525866"/>
          <w:sz w:val="22"/>
        </w:rPr>
        <w:t>LIN has &gt;$1B of backlog in ultra-high purity plants for advanced fabs; APD’s commentary validates the demand environment for LIN’s electronics segment, which grew 10% YoY in Q1 2026.</w:t>
      </w:r>
    </w:p>
    <w:p>
      <w:pPr>
        <w:pStyle w:val="ListBullet"/>
        <w:ind w:left="360" w:hanging="360"/>
      </w:pPr>
      <w:r>
        <w:rPr>
          <w:rFonts w:ascii="Calibri" w:hAnsi="Calibri"/>
          <w:b/>
          <w:color w:val="525866"/>
          <w:sz w:val="22"/>
        </w:rPr>
        <w:t xml:space="preserve">Europe Remains Weak: </w:t>
      </w:r>
      <w:r>
        <w:rPr>
          <w:rFonts w:ascii="Calibri" w:hAnsi="Calibri"/>
          <w:color w:val="525866"/>
          <w:sz w:val="22"/>
        </w:rPr>
        <w:t xml:space="preserve">APD: “Europe as a whole is a difficult market today. The industrial market in Europe is not growing.” Europe volumes -2% YoY despite pricing actions. </w:t>
      </w:r>
      <w:r>
        <w:rPr>
          <w:rFonts w:ascii="Calibri" w:hAnsi="Calibri"/>
          <w:b/>
          <w:color w:val="525866"/>
          <w:sz w:val="22"/>
        </w:rPr>
        <w:t xml:space="preserve">→ Neutral/confirming read-through: </w:t>
      </w:r>
      <w:r>
        <w:rPr>
          <w:rFonts w:ascii="Calibri" w:hAnsi="Calibri"/>
          <w:color w:val="525866"/>
          <w:sz w:val="22"/>
        </w:rPr>
        <w:t>Consistent with LIN’s own guidance; no positive surprise expected from EMEA.</w:t>
      </w:r>
    </w:p>
    <w:p>
      <w:pPr>
        <w:pStyle w:val="ListBullet"/>
        <w:ind w:left="360" w:hanging="360"/>
      </w:pPr>
      <w:r>
        <w:rPr>
          <w:rFonts w:ascii="Calibri" w:hAnsi="Calibri"/>
          <w:b/>
          <w:color w:val="525866"/>
          <w:sz w:val="22"/>
        </w:rPr>
        <w:t xml:space="preserve">Helium — Better Than Expected: </w:t>
      </w:r>
      <w:r>
        <w:rPr>
          <w:rFonts w:ascii="Calibri" w:hAnsi="Calibri"/>
          <w:color w:val="525866"/>
          <w:sz w:val="22"/>
        </w:rPr>
        <w:t xml:space="preserve">APD’s helium headwind in Q3 was 2% vs. guidance of 3%, driven by “improved volume and pricing in Asia supporting electronic customers.” APD is “very optimistic about the future in the helium side” and has gained “a lot of new commitments for volumes in the long term, especially in the electronics area.” </w:t>
      </w:r>
      <w:r>
        <w:rPr>
          <w:rFonts w:ascii="Calibri" w:hAnsi="Calibri"/>
          <w:b/>
          <w:color w:val="525866"/>
          <w:sz w:val="22"/>
        </w:rPr>
        <w:t xml:space="preserve">→ Positive read-through: </w:t>
      </w:r>
      <w:r>
        <w:rPr>
          <w:rFonts w:ascii="Calibri" w:hAnsi="Calibri"/>
          <w:color w:val="525866"/>
          <w:sz w:val="22"/>
        </w:rPr>
        <w:t>APD’s helium improvement is a direct positive signal for LIN, which has excluded all helium upside from guidance. If APD is seeing better-than-expected helium dynamics, LIN’s unmodeled helium upside may be materializing.</w:t>
      </w:r>
    </w:p>
    <w:p>
      <w:pPr>
        <w:pStyle w:val="ListBullet"/>
        <w:ind w:left="360" w:hanging="360"/>
      </w:pPr>
      <w:r>
        <w:rPr>
          <w:rFonts w:ascii="Calibri" w:hAnsi="Calibri"/>
          <w:b/>
          <w:color w:val="525866"/>
          <w:sz w:val="22"/>
        </w:rPr>
        <w:t xml:space="preserve">Project Portfolio Discipline: </w:t>
      </w:r>
      <w:r>
        <w:rPr>
          <w:rFonts w:ascii="Calibri" w:hAnsi="Calibri"/>
          <w:color w:val="525866"/>
          <w:sz w:val="22"/>
        </w:rPr>
        <w:t xml:space="preserve">APD exited the Louisiana Clean Energy Complex and Casa Grande zero-carbon liquid hydrogen facility, recording a $2.9B pre-tax charge. Pivoting to “high-quality, traditional industrial gas projects” with a $3B backlog. </w:t>
      </w:r>
      <w:r>
        <w:rPr>
          <w:rFonts w:ascii="Calibri" w:hAnsi="Calibri"/>
          <w:b/>
          <w:color w:val="525866"/>
          <w:sz w:val="22"/>
        </w:rPr>
        <w:t xml:space="preserve">→ Indirect positive read-through: </w:t>
      </w:r>
      <w:r>
        <w:rPr>
          <w:rFonts w:ascii="Calibri" w:hAnsi="Calibri"/>
          <w:color w:val="525866"/>
          <w:sz w:val="22"/>
        </w:rPr>
        <w:t>APD’s retreat from large-scale green hydrogen validates LIN’s more disciplined approach; LIN’s backlog quality (contractually secured, fixed fees) looks increasingly differentiated.</w:t>
      </w:r>
    </w:p>
    <w:p>
      <w:pPr>
        <w:pStyle w:val="Heading3"/>
      </w:pPr>
      <w:r>
        <w:rPr>
          <w:rFonts w:ascii="Calibri" w:hAnsi="Calibri"/>
          <w:b/>
          <w:color w:val="3B4259"/>
          <w:sz w:val="24"/>
        </w:rPr>
        <w:t>Downstream Industrial Indicators</w:t>
      </w:r>
    </w:p>
    <w:p>
      <w:pPr>
        <w:pStyle w:val="Heading4"/>
      </w:pPr>
      <w:r>
        <w:rPr>
          <w:rFonts w:ascii="Calibri" w:hAnsi="Calibri"/>
          <w:b/>
          <w:color w:val="3B4259"/>
          <w:sz w:val="22"/>
        </w:rPr>
        <w:t>Ecolab (ECL) — Q2 2026 Earnings (Reported July 28, 2026)</w:t>
      </w:r>
    </w:p>
    <w:p>
      <w:r>
        <w:rPr>
          <w:rFonts w:ascii="Calibri" w:hAnsi="Calibri"/>
          <w:b/>
          <w:color w:val="525866"/>
          <w:sz w:val="22"/>
        </w:rPr>
        <w:t xml:space="preserve">Read-Through Relevance: </w:t>
      </w:r>
      <w:r>
        <w:rPr>
          <w:rFonts w:ascii="Calibri" w:hAnsi="Calibri"/>
          <w:color w:val="525866"/>
          <w:sz w:val="22"/>
        </w:rPr>
        <w:t>Moderate-High — shared end markets (electronics/microelectronics, food &amp; beverage, healthcare, data centers); pricing environment indicator.</w:t>
      </w:r>
    </w:p>
    <w:p>
      <w:pPr>
        <w:pStyle w:val="ListBullet"/>
        <w:ind w:left="360" w:hanging="360"/>
      </w:pPr>
      <w:r>
        <w:rPr>
          <w:rFonts w:ascii="Calibri" w:hAnsi="Calibri"/>
          <w:b/>
          <w:color w:val="525866"/>
          <w:sz w:val="22"/>
        </w:rPr>
        <w:t xml:space="preserve">Electronics/AI Infrastructure Boom: </w:t>
      </w:r>
      <w:r>
        <w:rPr>
          <w:rFonts w:ascii="Calibri" w:hAnsi="Calibri"/>
          <w:color w:val="525866"/>
          <w:sz w:val="22"/>
        </w:rPr>
        <w:t xml:space="preserve">ECL’s Global High-Tech segment grew 29% in Q2 2026, driven by “very strong demand across both microelectronics and data centers, driven by the rapid build-out of AI infrastructure.” Global High-Tech platform approaching $1.5B in annualized sales, expected to grow to $4B by 2030. </w:t>
      </w:r>
      <w:r>
        <w:rPr>
          <w:rFonts w:ascii="Calibri" w:hAnsi="Calibri"/>
          <w:b/>
          <w:color w:val="525866"/>
          <w:sz w:val="22"/>
        </w:rPr>
        <w:t xml:space="preserve">→ Strong positive read-through: </w:t>
      </w:r>
      <w:r>
        <w:rPr>
          <w:rFonts w:ascii="Calibri" w:hAnsi="Calibri"/>
          <w:color w:val="525866"/>
          <w:sz w:val="22"/>
        </w:rPr>
        <w:t>Confirms the semiconductor/AI infrastructure demand environment that is driving LIN’s electronics backlog and 10% YoY electronics volume growth.</w:t>
      </w:r>
    </w:p>
    <w:p>
      <w:pPr>
        <w:pStyle w:val="ListBullet"/>
        <w:ind w:left="360" w:hanging="360"/>
      </w:pPr>
      <w:r>
        <w:rPr>
          <w:rFonts w:ascii="Calibri" w:hAnsi="Calibri"/>
          <w:b/>
          <w:color w:val="525866"/>
          <w:sz w:val="22"/>
        </w:rPr>
        <w:t xml:space="preserve">Pricing Power Sustained: </w:t>
      </w:r>
      <w:r>
        <w:rPr>
          <w:rFonts w:ascii="Calibri" w:hAnsi="Calibri"/>
          <w:color w:val="525866"/>
          <w:sz w:val="22"/>
        </w:rPr>
        <w:t xml:space="preserve">ECL pricing strengthened to 4% in Q2 and expects 5–6% in H2 2026 via energy surcharge implementation. “We are very well positioned to offset higher commodity costs.” </w:t>
      </w:r>
      <w:r>
        <w:rPr>
          <w:rFonts w:ascii="Calibri" w:hAnsi="Calibri"/>
          <w:b/>
          <w:color w:val="525866"/>
          <w:sz w:val="22"/>
        </w:rPr>
        <w:t xml:space="preserve">→ Positive read-through: </w:t>
      </w:r>
      <w:r>
        <w:rPr>
          <w:rFonts w:ascii="Calibri" w:hAnsi="Calibri"/>
          <w:color w:val="525866"/>
          <w:sz w:val="22"/>
        </w:rPr>
        <w:t>Validates LIN’s ability to sustain pricing in industrial markets; LIN’s pricing is “highly correlated to local inflation levels” and actual increases are higher for packaged/merchant gases (~2/3 of sales).</w:t>
      </w:r>
    </w:p>
    <w:p>
      <w:pPr>
        <w:pStyle w:val="ListBullet"/>
        <w:ind w:left="360" w:hanging="360"/>
      </w:pPr>
      <w:r>
        <w:rPr>
          <w:rFonts w:ascii="Calibri" w:hAnsi="Calibri"/>
          <w:b/>
          <w:color w:val="525866"/>
          <w:sz w:val="22"/>
        </w:rPr>
        <w:t xml:space="preserve">Volume Growth with Middle East Headwind: </w:t>
      </w:r>
      <w:r>
        <w:rPr>
          <w:rFonts w:ascii="Calibri" w:hAnsi="Calibri"/>
          <w:color w:val="525866"/>
          <w:sz w:val="22"/>
        </w:rPr>
        <w:t xml:space="preserve">ECL volumes grew 1% despite a “nearly 1% headwind from customer operations disrupted by the conflict in the Middle East.” Underlying volume growth accelerated from Q1. </w:t>
      </w:r>
      <w:r>
        <w:rPr>
          <w:rFonts w:ascii="Calibri" w:hAnsi="Calibri"/>
          <w:b/>
          <w:color w:val="525866"/>
          <w:sz w:val="22"/>
        </w:rPr>
        <w:t xml:space="preserve">→ Confirming read-through: </w:t>
      </w:r>
      <w:r>
        <w:rPr>
          <w:rFonts w:ascii="Calibri" w:hAnsi="Calibri"/>
          <w:color w:val="525866"/>
          <w:sz w:val="22"/>
        </w:rPr>
        <w:t>Middle East disruption is a shared headwind for LIN’s EMEA on-site and chemicals/energy customers; ECL’s ability to grow through it is modestly encouraging.</w:t>
      </w:r>
    </w:p>
    <w:p>
      <w:pPr>
        <w:pStyle w:val="ListBullet"/>
        <w:ind w:left="360" w:hanging="360"/>
      </w:pPr>
      <w:r>
        <w:rPr>
          <w:rFonts w:ascii="Calibri" w:hAnsi="Calibri"/>
          <w:b/>
          <w:color w:val="525866"/>
          <w:sz w:val="22"/>
        </w:rPr>
        <w:t xml:space="preserve">Guidance Raised: </w:t>
      </w:r>
      <w:r>
        <w:rPr>
          <w:rFonts w:ascii="Calibri" w:hAnsi="Calibri"/>
          <w:color w:val="525866"/>
          <w:sz w:val="22"/>
        </w:rPr>
        <w:t xml:space="preserve">ECL raised FY2026 EPS guidance to $8.05–$8.25 (7–10% growth) and expects H2 organic sales growth of 6–7%. </w:t>
      </w:r>
      <w:r>
        <w:rPr>
          <w:rFonts w:ascii="Calibri" w:hAnsi="Calibri"/>
          <w:b/>
          <w:color w:val="525866"/>
          <w:sz w:val="22"/>
        </w:rPr>
        <w:t xml:space="preserve">→ Positive macro read-through: </w:t>
      </w:r>
      <w:r>
        <w:rPr>
          <w:rFonts w:ascii="Calibri" w:hAnsi="Calibri"/>
          <w:color w:val="525866"/>
          <w:sz w:val="22"/>
        </w:rPr>
        <w:t>Broad industrial environment supportive of LIN’s own guidance delivery.</w:t>
      </w:r>
    </w:p>
    <w:p>
      <w:pPr>
        <w:pStyle w:val="Heading4"/>
      </w:pPr>
      <w:r>
        <w:rPr>
          <w:rFonts w:ascii="Calibri" w:hAnsi="Calibri"/>
          <w:b/>
          <w:color w:val="3B4259"/>
          <w:sz w:val="22"/>
        </w:rPr>
        <w:t>Dow Inc. (DOW) — Q2 2026 Earnings (Reported July 23, 2026)</w:t>
      </w:r>
    </w:p>
    <w:p>
      <w:r>
        <w:rPr>
          <w:rFonts w:ascii="Calibri" w:hAnsi="Calibri"/>
          <w:b/>
          <w:color w:val="525866"/>
          <w:sz w:val="22"/>
        </w:rPr>
        <w:t xml:space="preserve">Read-Through Relevance: </w:t>
      </w:r>
      <w:r>
        <w:rPr>
          <w:rFonts w:ascii="Calibri" w:hAnsi="Calibri"/>
          <w:color w:val="525866"/>
          <w:sz w:val="22"/>
        </w:rPr>
        <w:t>Moderate — major industrial gas customer (chemicals/energy end market, ~22% of LIN sales); U.S. Gulf Coast and European volume indicator.</w:t>
      </w:r>
    </w:p>
    <w:p>
      <w:pPr>
        <w:pStyle w:val="ListBullet"/>
        <w:ind w:left="360" w:hanging="360"/>
      </w:pPr>
      <w:r>
        <w:rPr>
          <w:rFonts w:ascii="Calibri" w:hAnsi="Calibri"/>
          <w:b/>
          <w:color w:val="525866"/>
          <w:sz w:val="22"/>
        </w:rPr>
        <w:t xml:space="preserve">Americas Resilience: </w:t>
      </w:r>
      <w:r>
        <w:rPr>
          <w:rFonts w:ascii="Calibri" w:hAnsi="Calibri"/>
          <w:color w:val="525866"/>
          <w:sz w:val="22"/>
        </w:rPr>
        <w:t xml:space="preserve">DOW reported Q2 EPS of $1.44 vs. consensus $1.31 (+10% beat). “Consumers have remained steady. Economic activity is constructive.” Packaging remains “resilient globally.” Data center demand “outpacing supply.” Double-digit growth in EVs, consumer electronics, and industrial electronics. </w:t>
      </w:r>
      <w:r>
        <w:rPr>
          <w:rFonts w:ascii="Calibri" w:hAnsi="Calibri"/>
          <w:b/>
          <w:color w:val="525866"/>
          <w:sz w:val="22"/>
        </w:rPr>
        <w:t xml:space="preserve">→ Positive read-through: </w:t>
      </w:r>
      <w:r>
        <w:rPr>
          <w:rFonts w:ascii="Calibri" w:hAnsi="Calibri"/>
          <w:color w:val="525866"/>
          <w:sz w:val="22"/>
        </w:rPr>
        <w:t>Resilient U.S. Gulf Coast chemical activity supports LIN’s hydrogen and nitrogen volumes in the region.</w:t>
      </w:r>
    </w:p>
    <w:p>
      <w:pPr>
        <w:pStyle w:val="ListBullet"/>
        <w:ind w:left="360" w:hanging="360"/>
      </w:pPr>
      <w:r>
        <w:rPr>
          <w:rFonts w:ascii="Calibri" w:hAnsi="Calibri"/>
          <w:b/>
          <w:color w:val="525866"/>
          <w:sz w:val="22"/>
        </w:rPr>
        <w:t xml:space="preserve">European Structural Weakness: </w:t>
      </w:r>
      <w:r>
        <w:rPr>
          <w:rFonts w:ascii="Calibri" w:hAnsi="Calibri"/>
          <w:color w:val="525866"/>
          <w:sz w:val="22"/>
        </w:rPr>
        <w:t xml:space="preserve">“Deeper structural pressures like high operating and labour costs persist” in Europe. DOW expects “some expected margin pressure in Europe” for industrial intermediates. Polyethylene volumes declined in EMEA. </w:t>
      </w:r>
      <w:r>
        <w:rPr>
          <w:rFonts w:ascii="Calibri" w:hAnsi="Calibri"/>
          <w:b/>
          <w:color w:val="525866"/>
          <w:sz w:val="22"/>
        </w:rPr>
        <w:t xml:space="preserve">→ Confirming read-through: </w:t>
      </w:r>
      <w:r>
        <w:rPr>
          <w:rFonts w:ascii="Calibri" w:hAnsi="Calibri"/>
          <w:color w:val="525866"/>
          <w:sz w:val="22"/>
        </w:rPr>
        <w:t>Consistent with LIN’s EMEA volume headwinds; no positive surprise expected.</w:t>
      </w:r>
    </w:p>
    <w:p>
      <w:pPr>
        <w:pStyle w:val="ListBullet"/>
        <w:ind w:left="360" w:hanging="360"/>
      </w:pPr>
      <w:r>
        <w:rPr>
          <w:rFonts w:ascii="Calibri" w:hAnsi="Calibri"/>
          <w:b/>
          <w:color w:val="525866"/>
          <w:sz w:val="22"/>
        </w:rPr>
        <w:t xml:space="preserve">Asia Pacific Mixed: </w:t>
      </w:r>
      <w:r>
        <w:rPr>
          <w:rFonts w:ascii="Calibri" w:hAnsi="Calibri"/>
          <w:color w:val="525866"/>
          <w:sz w:val="22"/>
        </w:rPr>
        <w:t xml:space="preserve">“Industrial production and manufacturing activity have recently accelerated and energy space refinery operations are normalising in China.” </w:t>
      </w:r>
      <w:r>
        <w:rPr>
          <w:rFonts w:ascii="Calibri" w:hAnsi="Calibri"/>
          <w:b/>
          <w:color w:val="525866"/>
          <w:sz w:val="22"/>
        </w:rPr>
        <w:t xml:space="preserve">→ Modestly positive read-through: </w:t>
      </w:r>
      <w:r>
        <w:rPr>
          <w:rFonts w:ascii="Calibri" w:hAnsi="Calibri"/>
          <w:color w:val="525866"/>
          <w:sz w:val="22"/>
        </w:rPr>
        <w:t>LIN noted “coal-to-X in China is actually performing better” in Q1; DOW’s commentary is consistent.</w:t>
      </w:r>
    </w:p>
    <w:p>
      <w:pPr>
        <w:pStyle w:val="ListBullet"/>
        <w:ind w:left="360" w:hanging="360"/>
      </w:pPr>
      <w:r>
        <w:rPr>
          <w:rFonts w:ascii="Calibri" w:hAnsi="Calibri"/>
          <w:b/>
          <w:color w:val="525866"/>
          <w:sz w:val="22"/>
        </w:rPr>
        <w:t xml:space="preserve">U.S. Gulf Coast Feedstock Advantage: </w:t>
      </w:r>
      <w:r>
        <w:rPr>
          <w:rFonts w:ascii="Calibri" w:hAnsi="Calibri"/>
          <w:color w:val="525866"/>
          <w:sz w:val="22"/>
        </w:rPr>
        <w:t xml:space="preserve">DOW expects U.S. ethane prices to “stay low” due to “ample supply,” supporting high operating rates at U.S. Gulf Coast assets. Expects operating rates “above 90%” in Q3. </w:t>
      </w:r>
      <w:r>
        <w:rPr>
          <w:rFonts w:ascii="Calibri" w:hAnsi="Calibri"/>
          <w:b/>
          <w:color w:val="525866"/>
          <w:sz w:val="22"/>
        </w:rPr>
        <w:t xml:space="preserve">→ Positive read-through: </w:t>
      </w:r>
      <w:r>
        <w:rPr>
          <w:rFonts w:ascii="Calibri" w:hAnsi="Calibri"/>
          <w:color w:val="525866"/>
          <w:sz w:val="22"/>
        </w:rPr>
        <w:t>Higher U.S. chemical plant utilization = higher industrial gas consumption for LIN.</w:t>
      </w:r>
    </w:p>
    <w:p>
      <w:pPr>
        <w:pStyle w:val="Heading4"/>
      </w:pPr>
      <w:r>
        <w:rPr>
          <w:rFonts w:ascii="Calibri" w:hAnsi="Calibri"/>
          <w:b/>
          <w:color w:val="3B4259"/>
          <w:sz w:val="22"/>
        </w:rPr>
        <w:t>Nucor (NUE) — Q2 2026 Earnings (Reported July 27–28, 2026)</w:t>
      </w:r>
    </w:p>
    <w:p>
      <w:r>
        <w:rPr>
          <w:rFonts w:ascii="Calibri" w:hAnsi="Calibri"/>
          <w:b/>
          <w:color w:val="525866"/>
          <w:sz w:val="22"/>
        </w:rPr>
        <w:t xml:space="preserve">Read-Through Relevance: </w:t>
      </w:r>
      <w:r>
        <w:rPr>
          <w:rFonts w:ascii="Calibri" w:hAnsi="Calibri"/>
          <w:color w:val="525866"/>
          <w:sz w:val="22"/>
        </w:rPr>
        <w:t>Moderate — major industrial gas customer (metals &amp; mining end market); U.S. industrial demand indicator.</w:t>
      </w:r>
    </w:p>
    <w:p>
      <w:pPr>
        <w:pStyle w:val="ListBullet"/>
        <w:ind w:left="360" w:hanging="360"/>
      </w:pPr>
      <w:r>
        <w:rPr>
          <w:rFonts w:ascii="Calibri" w:hAnsi="Calibri"/>
          <w:b/>
          <w:color w:val="525866"/>
          <w:sz w:val="22"/>
        </w:rPr>
        <w:t xml:space="preserve">Strong Demand Across Key End Markets: </w:t>
      </w:r>
      <w:r>
        <w:rPr>
          <w:rFonts w:ascii="Calibri" w:hAnsi="Calibri"/>
          <w:color w:val="525866"/>
          <w:sz w:val="22"/>
        </w:rPr>
        <w:t xml:space="preserve">NUE reported Q2 EPS of $4.84 vs. consensus $4.50 (+7.6% beat). “Underlying demand is strong and we expect that to continue into 2027, led by energy, advanced manufacturing and data centers.” Shipment growth expected to finish “closer to the higher end” of the 5–10% range for 2026. </w:t>
      </w:r>
      <w:r>
        <w:rPr>
          <w:rFonts w:ascii="Calibri" w:hAnsi="Calibri"/>
          <w:b/>
          <w:color w:val="525866"/>
          <w:sz w:val="22"/>
        </w:rPr>
        <w:t xml:space="preserve">→ Positive read-through: </w:t>
      </w:r>
      <w:r>
        <w:rPr>
          <w:rFonts w:ascii="Calibri" w:hAnsi="Calibri"/>
          <w:color w:val="525866"/>
          <w:sz w:val="22"/>
        </w:rPr>
        <w:t>Strong steel demand = higher oxygen consumption at electric arc furnaces; LIN’s metals &amp; mining segment grew 3% in Q1 2026, entirely from Americas.</w:t>
      </w:r>
    </w:p>
    <w:p>
      <w:pPr>
        <w:pStyle w:val="ListBullet"/>
        <w:ind w:left="360" w:hanging="360"/>
      </w:pPr>
      <w:r>
        <w:rPr>
          <w:rFonts w:ascii="Calibri" w:hAnsi="Calibri"/>
          <w:b/>
          <w:color w:val="525866"/>
          <w:sz w:val="22"/>
        </w:rPr>
        <w:t xml:space="preserve">Reshoring &amp; Infrastructure Driving Multi-Year Demand: </w:t>
      </w:r>
      <w:r>
        <w:rPr>
          <w:rFonts w:ascii="Calibri" w:hAnsi="Calibri"/>
          <w:color w:val="525866"/>
          <w:sz w:val="22"/>
        </w:rPr>
        <w:t xml:space="preserve">“Reshoring driving new demand” in auto and consumer durables. “Data centers and other mega projects” driving structural domestic consumption up ~15% YoY. Order visibility extends “into 2027 for many products.” </w:t>
      </w:r>
      <w:r>
        <w:rPr>
          <w:rFonts w:ascii="Calibri" w:hAnsi="Calibri"/>
          <w:b/>
          <w:color w:val="525866"/>
          <w:sz w:val="22"/>
        </w:rPr>
        <w:t xml:space="preserve">→ Positive read-through: </w:t>
      </w:r>
      <w:r>
        <w:rPr>
          <w:rFonts w:ascii="Calibri" w:hAnsi="Calibri"/>
          <w:color w:val="525866"/>
          <w:sz w:val="22"/>
        </w:rPr>
        <w:t>Multi-year industrial demand cycle supports LIN’s Americas volume trajectory and backlog additions.</w:t>
      </w:r>
    </w:p>
    <w:p>
      <w:pPr>
        <w:pStyle w:val="ListBullet"/>
        <w:ind w:left="360" w:hanging="360"/>
      </w:pPr>
      <w:r>
        <w:rPr>
          <w:rFonts w:ascii="Calibri" w:hAnsi="Calibri"/>
          <w:b/>
          <w:color w:val="525866"/>
          <w:sz w:val="22"/>
        </w:rPr>
        <w:t xml:space="preserve">New Capacity Ramping: </w:t>
      </w:r>
      <w:r>
        <w:rPr>
          <w:rFonts w:ascii="Calibri" w:hAnsi="Calibri"/>
          <w:color w:val="525866"/>
          <w:sz w:val="22"/>
        </w:rPr>
        <w:t xml:space="preserve">West Virginia greenfield sheet mill, Berkeley Galv line, and Utah Towers &amp; Structures facility all ramping in 2026–2027. CapEx of ~$2.5B for 2026, ~60% for growth projects. </w:t>
      </w:r>
      <w:r>
        <w:rPr>
          <w:rFonts w:ascii="Calibri" w:hAnsi="Calibri"/>
          <w:b/>
          <w:color w:val="525866"/>
          <w:sz w:val="22"/>
        </w:rPr>
        <w:t xml:space="preserve">→ Positive read-through: </w:t>
      </w:r>
      <w:r>
        <w:rPr>
          <w:rFonts w:ascii="Calibri" w:hAnsi="Calibri"/>
          <w:color w:val="525866"/>
          <w:sz w:val="22"/>
        </w:rPr>
        <w:t>New steel capacity = new industrial gas supply contracts; LIN often secures long-term oxygen supply agreements for greenfield steel facilities.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Peer</w:t>
            </w:r>
          </w:p>
        </w:tc>
        <w:tc>
          <w:tcPr>
            <w:tcW w:type="dxa" w:w="2160"/>
          </w:tcPr>
          <w:p>
            <w:r>
              <w:rPr>
                <w:rFonts w:ascii="Calibri" w:hAnsi="Calibri"/>
                <w:b/>
                <w:sz w:val="22"/>
              </w:rPr>
              <w:t>Type</w:t>
            </w:r>
          </w:p>
        </w:tc>
        <w:tc>
          <w:tcPr>
            <w:tcW w:type="dxa" w:w="2160"/>
          </w:tcPr>
          <w:p>
            <w:r>
              <w:rPr>
                <w:rFonts w:ascii="Calibri" w:hAnsi="Calibri"/>
                <w:b/>
                <w:sz w:val="22"/>
              </w:rPr>
              <w:t>Key Signal for LIN Q2 2026</w:t>
            </w:r>
          </w:p>
        </w:tc>
        <w:tc>
          <w:tcPr>
            <w:tcW w:type="dxa" w:w="2160"/>
          </w:tcPr>
          <w:p>
            <w:r>
              <w:rPr>
                <w:rFonts w:ascii="Calibri" w:hAnsi="Calibri"/>
                <w:b/>
                <w:sz w:val="22"/>
              </w:rPr>
              <w:t>Direction</w:t>
            </w:r>
          </w:p>
        </w:tc>
      </w:tr>
      <w:tr>
        <w:tc>
          <w:tcPr>
            <w:tcW w:type="dxa" w:w="2160"/>
          </w:tcPr>
          <w:p>
            <w:r>
              <w:rPr>
                <w:rFonts w:ascii="Calibri" w:hAnsi="Calibri"/>
                <w:sz w:val="22"/>
              </w:rPr>
              <w:t>APD (July 30)</w:t>
            </w:r>
          </w:p>
        </w:tc>
        <w:tc>
          <w:tcPr>
            <w:tcW w:type="dxa" w:w="2160"/>
          </w:tcPr>
          <w:p>
            <w:r>
              <w:rPr>
                <w:rFonts w:ascii="Calibri" w:hAnsi="Calibri"/>
                <w:sz w:val="22"/>
              </w:rPr>
              <w:t>Direct Peer</w:t>
            </w:r>
          </w:p>
        </w:tc>
        <w:tc>
          <w:tcPr>
            <w:tcW w:type="dxa" w:w="2160"/>
          </w:tcPr>
          <w:p>
            <w:r>
              <w:rPr>
                <w:rFonts w:ascii="Calibri" w:hAnsi="Calibri"/>
                <w:sz w:val="22"/>
              </w:rPr>
              <w:t>EPS beat; electronics primary growth driver; helium better than expected; Americas strong; Europe weak</w:t>
            </w:r>
          </w:p>
        </w:tc>
        <w:tc>
          <w:tcPr>
            <w:tcW w:type="dxa" w:w="2160"/>
          </w:tcPr>
          <w:p>
            <w:r>
              <w:rPr>
                <w:rFonts w:ascii="Calibri" w:hAnsi="Calibri"/>
                <w:b/>
                <w:color w:val="30A46C"/>
                <w:sz w:val="22"/>
              </w:rPr>
              <w:t>Positive</w:t>
            </w:r>
          </w:p>
        </w:tc>
      </w:tr>
      <w:tr>
        <w:tc>
          <w:tcPr>
            <w:tcW w:type="dxa" w:w="2160"/>
          </w:tcPr>
          <w:p>
            <w:r>
              <w:rPr>
                <w:rFonts w:ascii="Calibri" w:hAnsi="Calibri"/>
                <w:sz w:val="22"/>
              </w:rPr>
              <w:t>ECL (July 28)</w:t>
            </w:r>
          </w:p>
        </w:tc>
        <w:tc>
          <w:tcPr>
            <w:tcW w:type="dxa" w:w="2160"/>
          </w:tcPr>
          <w:p>
            <w:r>
              <w:rPr>
                <w:rFonts w:ascii="Calibri" w:hAnsi="Calibri"/>
                <w:sz w:val="22"/>
              </w:rPr>
              <w:t>Downstream</w:t>
            </w:r>
          </w:p>
        </w:tc>
        <w:tc>
          <w:tcPr>
            <w:tcW w:type="dxa" w:w="2160"/>
          </w:tcPr>
          <w:p>
            <w:r>
              <w:rPr>
                <w:rFonts w:ascii="Calibri" w:hAnsi="Calibri"/>
                <w:sz w:val="22"/>
              </w:rPr>
              <w:t>Electronics/AI demand +29%; pricing 5–6% in H2; guidance raised</w:t>
            </w:r>
          </w:p>
        </w:tc>
        <w:tc>
          <w:tcPr>
            <w:tcW w:type="dxa" w:w="2160"/>
          </w:tcPr>
          <w:p>
            <w:r>
              <w:rPr>
                <w:rFonts w:ascii="Calibri" w:hAnsi="Calibri"/>
                <w:b/>
                <w:color w:val="30A46C"/>
                <w:sz w:val="22"/>
              </w:rPr>
              <w:t>Positive</w:t>
            </w:r>
          </w:p>
        </w:tc>
      </w:tr>
      <w:tr>
        <w:tc>
          <w:tcPr>
            <w:tcW w:type="dxa" w:w="2160"/>
          </w:tcPr>
          <w:p>
            <w:r>
              <w:rPr>
                <w:rFonts w:ascii="Calibri" w:hAnsi="Calibri"/>
                <w:sz w:val="22"/>
              </w:rPr>
              <w:t>DOW (July 23)</w:t>
            </w:r>
          </w:p>
        </w:tc>
        <w:tc>
          <w:tcPr>
            <w:tcW w:type="dxa" w:w="2160"/>
          </w:tcPr>
          <w:p>
            <w:r>
              <w:rPr>
                <w:rFonts w:ascii="Calibri" w:hAnsi="Calibri"/>
                <w:sz w:val="22"/>
              </w:rPr>
              <w:t>Downstream</w:t>
            </w:r>
          </w:p>
        </w:tc>
        <w:tc>
          <w:tcPr>
            <w:tcW w:type="dxa" w:w="2160"/>
          </w:tcPr>
          <w:p>
            <w:r>
              <w:rPr>
                <w:rFonts w:ascii="Calibri" w:hAnsi="Calibri"/>
                <w:sz w:val="22"/>
              </w:rPr>
              <w:t>Americas resilient; U.S. Gulf Coast operating rates &gt;90% in Q3; Europe structurally weak</w:t>
            </w:r>
          </w:p>
        </w:tc>
        <w:tc>
          <w:tcPr>
            <w:tcW w:type="dxa" w:w="2160"/>
          </w:tcPr>
          <w:p>
            <w:r>
              <w:rPr>
                <w:rFonts w:ascii="Calibri" w:hAnsi="Calibri"/>
                <w:b/>
                <w:color w:val="002FA7"/>
                <w:sz w:val="22"/>
              </w:rPr>
              <w:t>Mixed</w:t>
            </w:r>
          </w:p>
        </w:tc>
      </w:tr>
      <w:tr>
        <w:tc>
          <w:tcPr>
            <w:tcW w:type="dxa" w:w="2160"/>
          </w:tcPr>
          <w:p>
            <w:r>
              <w:rPr>
                <w:rFonts w:ascii="Calibri" w:hAnsi="Calibri"/>
                <w:sz w:val="22"/>
              </w:rPr>
              <w:t>NUE (July 27–28)</w:t>
            </w:r>
          </w:p>
        </w:tc>
        <w:tc>
          <w:tcPr>
            <w:tcW w:type="dxa" w:w="2160"/>
          </w:tcPr>
          <w:p>
            <w:r>
              <w:rPr>
                <w:rFonts w:ascii="Calibri" w:hAnsi="Calibri"/>
                <w:sz w:val="22"/>
              </w:rPr>
              <w:t>Downstream</w:t>
            </w:r>
          </w:p>
        </w:tc>
        <w:tc>
          <w:tcPr>
            <w:tcW w:type="dxa" w:w="2160"/>
          </w:tcPr>
          <w:p>
            <w:r>
              <w:rPr>
                <w:rFonts w:ascii="Calibri" w:hAnsi="Calibri"/>
                <w:sz w:val="22"/>
              </w:rPr>
              <w:t>Strong U.S. steel demand; reshoring + data centers driving multi-year cycle; new capacity ramping</w:t>
            </w:r>
          </w:p>
        </w:tc>
        <w:tc>
          <w:tcPr>
            <w:tcW w:type="dxa" w:w="2160"/>
          </w:tcPr>
          <w:p>
            <w:r>
              <w:rPr>
                <w:rFonts w:ascii="Calibri" w:hAnsi="Calibri"/>
                <w:b/>
                <w:color w:val="30A46C"/>
                <w:sz w:val="22"/>
              </w:rPr>
              <w:t>Positive</w:t>
            </w:r>
          </w:p>
        </w:tc>
      </w:tr>
      <w:tr>
        <w:tc>
          <w:tcPr>
            <w:tcW w:type="dxa" w:w="2160"/>
          </w:tcPr>
          <w:p>
            <w:r>
              <w:rPr>
                <w:rFonts w:ascii="Calibri" w:hAnsi="Calibri"/>
                <w:sz w:val="22"/>
              </w:rPr>
              <w:t>STLD (July 21)</w:t>
            </w:r>
          </w:p>
        </w:tc>
        <w:tc>
          <w:tcPr>
            <w:tcW w:type="dxa" w:w="2160"/>
          </w:tcPr>
          <w:p>
            <w:r>
              <w:rPr>
                <w:rFonts w:ascii="Calibri" w:hAnsi="Calibri"/>
                <w:sz w:val="22"/>
              </w:rPr>
              <w:t>Downstream</w:t>
            </w:r>
          </w:p>
        </w:tc>
        <w:tc>
          <w:tcPr>
            <w:tcW w:type="dxa" w:w="2160"/>
          </w:tcPr>
          <w:p>
            <w:r>
              <w:rPr>
                <w:rFonts w:ascii="Calibri" w:hAnsi="Calibri"/>
                <w:sz w:val="22"/>
              </w:rPr>
              <w:t>Healthy steel fundamentals; improved pricing; declining inventories; extended backlogs</w:t>
            </w:r>
          </w:p>
        </w:tc>
        <w:tc>
          <w:tcPr>
            <w:tcW w:type="dxa" w:w="2160"/>
          </w:tcPr>
          <w:p>
            <w:r>
              <w:rPr>
                <w:rFonts w:ascii="Calibri" w:hAnsi="Calibri"/>
                <w:b/>
                <w:color w:val="30A46C"/>
                <w:sz w:val="22"/>
              </w:rPr>
              <w:t>Positive</w:t>
            </w:r>
          </w:p>
        </w:tc>
      </w:tr>
      <w:tr>
        <w:tc>
          <w:tcPr>
            <w:tcW w:type="dxa" w:w="2160"/>
          </w:tcPr>
          <w:p>
            <w:r>
              <w:rPr>
                <w:rFonts w:ascii="Calibri" w:hAnsi="Calibri"/>
                <w:sz w:val="22"/>
              </w:rPr>
              <w:t>EMN (July 30)</w:t>
            </w:r>
          </w:p>
        </w:tc>
        <w:tc>
          <w:tcPr>
            <w:tcW w:type="dxa" w:w="2160"/>
          </w:tcPr>
          <w:p>
            <w:r>
              <w:rPr>
                <w:rFonts w:ascii="Calibri" w:hAnsi="Calibri"/>
                <w:sz w:val="22"/>
              </w:rPr>
              <w:t>Downstream</w:t>
            </w:r>
          </w:p>
        </w:tc>
        <w:tc>
          <w:tcPr>
            <w:tcW w:type="dxa" w:w="2160"/>
          </w:tcPr>
          <w:p>
            <w:r>
              <w:rPr>
                <w:rFonts w:ascii="Calibri" w:hAnsi="Calibri"/>
                <w:sz w:val="22"/>
              </w:rPr>
              <w:t>Specialty chemical margin expansion; Q3 guidance beat; confidence in 2026 earnings improvement</w:t>
            </w:r>
          </w:p>
        </w:tc>
        <w:tc>
          <w:tcPr>
            <w:tcW w:type="dxa" w:w="2160"/>
          </w:tcPr>
          <w:p>
            <w:r>
              <w:rPr>
                <w:rFonts w:ascii="Calibri" w:hAnsi="Calibri"/>
                <w:b/>
                <w:color w:val="30A46C"/>
                <w:sz w:val="22"/>
              </w:rPr>
              <w:t>Modestly Positive</w:t>
            </w:r>
          </w:p>
        </w:tc>
      </w:tr>
    </w:tbl>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2026 earnings call is the acute global helium shortage driven by the Strait of Hormuz/Iran conflict and Russian supply disruptions — a dynamic that management deliberately excluded from guidance and which APD’s July 30 results suggest is materializing as a real tailwind. The debt issuance and AGM were non-events.</w:t>
      </w:r>
    </w:p>
    <w:p>
      <w:pPr>
        <w:pStyle w:val="ListBullet"/>
        <w:ind w:left="360" w:hanging="360"/>
      </w:pPr>
      <w:r>
        <w:rPr>
          <w:rFonts w:ascii="Calibri" w:hAnsi="Calibri"/>
          <w:b/>
          <w:color w:val="525866"/>
          <w:sz w:val="22"/>
        </w:rPr>
        <w:t xml:space="preserve">July 30, 2026 — APD Q3 FY2026 Earnings (Helium Read-Through): </w:t>
      </w:r>
      <w:r>
        <w:rPr>
          <w:rFonts w:ascii="Calibri" w:hAnsi="Calibri"/>
          <w:color w:val="525866"/>
          <w:sz w:val="22"/>
        </w:rPr>
        <w:t xml:space="preserve">Air Products reported helium headwind of 2% vs. guided 3%, driven by improved volume and pricing in Asia supporting electronic customers. APD stated it is “very optimistic about the future in the helium side” and has gained “a lot of new commitments for volumes in the long term.” </w:t>
      </w:r>
      <w:r>
        <w:rPr>
          <w:rFonts w:ascii="Calibri" w:hAnsi="Calibri"/>
          <w:b/>
          <w:color w:val="525866"/>
          <w:sz w:val="22"/>
        </w:rPr>
        <w:t xml:space="preserve">Implication: </w:t>
      </w:r>
      <w:r>
        <w:rPr>
          <w:rFonts w:ascii="Calibri" w:hAnsi="Calibri"/>
          <w:color w:val="525866"/>
          <w:sz w:val="22"/>
        </w:rPr>
        <w:t>First concrete data point suggesting LIN’s unmodeled helium upside may be materializing; watch for any helium commentary on the Q2 call.</w:t>
      </w:r>
    </w:p>
    <w:p>
      <w:pPr>
        <w:pStyle w:val="ListBullet"/>
        <w:ind w:left="360" w:hanging="360"/>
      </w:pPr>
      <w:r>
        <w:rPr>
          <w:rFonts w:ascii="Calibri" w:hAnsi="Calibri"/>
          <w:b/>
          <w:color w:val="525866"/>
          <w:sz w:val="22"/>
        </w:rPr>
        <w:t xml:space="preserve">July 30, 2026 — LIN Annual General Meeting: </w:t>
      </w:r>
      <w:r>
        <w:rPr>
          <w:rFonts w:ascii="Calibri" w:hAnsi="Calibri"/>
          <w:color w:val="525866"/>
          <w:sz w:val="22"/>
        </w:rPr>
        <w:t xml:space="preserve">Shareholders approved directors, auditor, and executive pay; rejected a renewable energy report. No material governance surprise or strategic announcement. </w:t>
      </w:r>
      <w:r>
        <w:rPr>
          <w:rFonts w:ascii="Calibri" w:hAnsi="Calibri"/>
          <w:b/>
          <w:color w:val="525866"/>
          <w:sz w:val="22"/>
        </w:rPr>
        <w:t xml:space="preserve">Implication: </w:t>
      </w:r>
      <w:r>
        <w:rPr>
          <w:rFonts w:ascii="Calibri" w:hAnsi="Calibri"/>
          <w:color w:val="525866"/>
          <w:sz w:val="22"/>
        </w:rPr>
        <w:t>Non-event for the earnings setup.</w:t>
      </w:r>
    </w:p>
    <w:p>
      <w:pPr>
        <w:pStyle w:val="ListBullet"/>
        <w:ind w:left="360" w:hanging="360"/>
      </w:pPr>
      <w:r>
        <w:rPr>
          <w:rFonts w:ascii="Calibri" w:hAnsi="Calibri"/>
          <w:b/>
          <w:color w:val="525866"/>
          <w:sz w:val="22"/>
        </w:rPr>
        <w:t xml:space="preserve">July 1, 2026 — Q2 2026 Earnings Schedule Announced: </w:t>
      </w:r>
      <w:r>
        <w:rPr>
          <w:rFonts w:ascii="Calibri" w:hAnsi="Calibri"/>
          <w:color w:val="525866"/>
          <w:sz w:val="22"/>
        </w:rPr>
        <w:t xml:space="preserve">Linde confirmed Q2 2026 results to be released July 31, 2026 at 06:00 EDT, with conference call at 09:00 EDT. </w:t>
      </w:r>
      <w:r>
        <w:rPr>
          <w:rFonts w:ascii="Calibri" w:hAnsi="Calibri"/>
          <w:b/>
          <w:color w:val="525866"/>
          <w:sz w:val="22"/>
        </w:rPr>
        <w:t xml:space="preserve">Implication: </w:t>
      </w:r>
      <w:r>
        <w:rPr>
          <w:rFonts w:ascii="Calibri" w:hAnsi="Calibri"/>
          <w:color w:val="525866"/>
          <w:sz w:val="22"/>
        </w:rPr>
        <w:t>Standard pre-announcement; no guidance update included.</w:t>
      </w:r>
    </w:p>
    <w:p>
      <w:pPr>
        <w:pStyle w:val="ListBullet"/>
        <w:ind w:left="360" w:hanging="360"/>
      </w:pPr>
      <w:r>
        <w:rPr>
          <w:rFonts w:ascii="Calibri" w:hAnsi="Calibri"/>
          <w:b/>
          <w:color w:val="525866"/>
          <w:sz w:val="22"/>
        </w:rPr>
        <w:t xml:space="preserve">May 13, 2026 — €1.6B Debt Offering (8-K): </w:t>
      </w:r>
      <w:r>
        <w:rPr>
          <w:rFonts w:ascii="Calibri" w:hAnsi="Calibri"/>
          <w:color w:val="525866"/>
          <w:sz w:val="22"/>
        </w:rPr>
        <w:t xml:space="preserve">Linde issued €1.6B in new debt via a dealer agreement and fiscal agency agreement. </w:t>
      </w:r>
      <w:r>
        <w:rPr>
          <w:rFonts w:ascii="Calibri" w:hAnsi="Calibri"/>
          <w:b/>
          <w:color w:val="525866"/>
          <w:sz w:val="22"/>
        </w:rPr>
        <w:t xml:space="preserve">Implication: </w:t>
      </w:r>
      <w:r>
        <w:rPr>
          <w:rFonts w:ascii="Calibri" w:hAnsi="Calibri"/>
          <w:color w:val="525866"/>
          <w:sz w:val="22"/>
        </w:rPr>
        <w:t>Signals balance sheet confidence and capacity for continued capital deployment (backlog investment, buybacks, dividends). Modest positive.</w:t>
      </w:r>
    </w:p>
    <w:p>
      <w:pPr>
        <w:pStyle w:val="ListBullet"/>
        <w:ind w:left="360" w:hanging="360"/>
      </w:pPr>
      <w:r>
        <w:rPr>
          <w:rFonts w:ascii="Calibri" w:hAnsi="Calibri"/>
          <w:b/>
          <w:color w:val="525866"/>
          <w:sz w:val="22"/>
        </w:rPr>
        <w:t xml:space="preserve">Ongoing — Helium Supply Disruption (Strait of Hormuz / Russia): </w:t>
      </w:r>
      <w:r>
        <w:rPr>
          <w:rFonts w:ascii="Calibri" w:hAnsi="Calibri"/>
          <w:color w:val="525866"/>
          <w:sz w:val="22"/>
        </w:rPr>
        <w:t xml:space="preserve">Acute global helium shortages from the Iran conflict (impacting Qatar’s export capacity) and Russian supply disruptions (primarily affecting the Chinese market). LIN sources from a “very broad base” and is “currently well positioned despite some of the recent outages.” Management is prioritizing new long-term contracts over spot sales. </w:t>
      </w:r>
      <w:r>
        <w:rPr>
          <w:rFonts w:ascii="Calibri" w:hAnsi="Calibri"/>
          <w:b/>
          <w:color w:val="525866"/>
          <w:sz w:val="22"/>
        </w:rPr>
        <w:t xml:space="preserve">Implication: </w:t>
      </w:r>
      <w:r>
        <w:rPr>
          <w:rFonts w:ascii="Calibri" w:hAnsi="Calibri"/>
          <w:color w:val="525866"/>
          <w:sz w:val="22"/>
        </w:rPr>
        <w:t>Pure upside to guidance; any incremental volumes or price improvement = unmodeled EPS upside. The key question on the Q2 call is whether management will begin to quantify this opportunity.</w:t>
      </w:r>
    </w:p>
    <w:p>
      <w:pPr>
        <w:pStyle w:val="ListBullet"/>
        <w:ind w:left="360" w:hanging="360"/>
      </w:pPr>
      <w:r>
        <w:rPr>
          <w:rFonts w:ascii="Calibri" w:hAnsi="Calibri"/>
          <w:b/>
          <w:color w:val="525866"/>
          <w:sz w:val="22"/>
        </w:rPr>
        <w:t xml:space="preserve">Ongoing — Geopolitical / Tariff Environment: </w:t>
      </w:r>
      <w:r>
        <w:rPr>
          <w:rFonts w:ascii="Calibri" w:hAnsi="Calibri"/>
          <w:color w:val="525866"/>
          <w:sz w:val="22"/>
        </w:rPr>
        <w:t xml:space="preserve">New U.S. tariffs (10–12.5%) on 60 trading partners took effect July 24–25, 2026 under Section 301. Supreme Court overturned Trump’s emergency-powers tariffs in February 2026, resulting in ~$104B in refunds. Iran war driving higher energy/feedstock costs globally. </w:t>
      </w:r>
      <w:r>
        <w:rPr>
          <w:rFonts w:ascii="Calibri" w:hAnsi="Calibri"/>
          <w:b/>
          <w:color w:val="525866"/>
          <w:sz w:val="22"/>
        </w:rPr>
        <w:t xml:space="preserve">Implication: </w:t>
      </w:r>
      <w:r>
        <w:rPr>
          <w:rFonts w:ascii="Calibri" w:hAnsi="Calibri"/>
          <w:color w:val="525866"/>
          <w:sz w:val="22"/>
        </w:rPr>
        <w:t>LIN’s long-term, take-or-pay contracts with energy pass-through provisions provide significant insulation; tariff uncertainty may actually benefit LIN by accelerating reshoring of U.S. industrial production (positive for Americas volumes).</w:t>
      </w:r>
    </w:p>
    <w:p>
      <w:pPr>
        <w:pStyle w:val="ListBullet"/>
        <w:ind w:left="360" w:hanging="360"/>
      </w:pPr>
      <w:r>
        <w:rPr>
          <w:rFonts w:ascii="Calibri" w:hAnsi="Calibri"/>
          <w:b/>
          <w:color w:val="525866"/>
          <w:sz w:val="22"/>
        </w:rPr>
        <w:t xml:space="preserve">Ongoing — Woodside Blue Hydrogen Project Delay: </w:t>
      </w:r>
      <w:r>
        <w:rPr>
          <w:rFonts w:ascii="Calibri" w:hAnsi="Calibri"/>
          <w:color w:val="525866"/>
          <w:sz w:val="22"/>
        </w:rPr>
        <w:t xml:space="preserve">The ATR and TNS back-end components have slipped several months into Q1 2027 due to U.S. Gulf Coast construction challenges. The atmospheric nitrogen portion remains on track for mid-2026 startup. </w:t>
      </w:r>
      <w:r>
        <w:rPr>
          <w:rFonts w:ascii="Calibri" w:hAnsi="Calibri"/>
          <w:b/>
          <w:color w:val="525866"/>
          <w:sz w:val="22"/>
        </w:rPr>
        <w:t xml:space="preserve">Implication: </w:t>
      </w:r>
      <w:r>
        <w:rPr>
          <w:rFonts w:ascii="Calibri" w:hAnsi="Calibri"/>
          <w:color w:val="525866"/>
          <w:sz w:val="22"/>
        </w:rPr>
        <w:t>Modest negative for near-term backlog contribution; already reflected in guidance. Watch for any update on the nitrogen startup timing on the Q2 call.</w:t>
      </w:r>
    </w:p>
    <w:p>
      <w:pPr>
        <w:pStyle w:val="ListBullet"/>
        <w:ind w:left="360" w:hanging="360"/>
      </w:pPr>
      <w:r>
        <w:rPr>
          <w:rFonts w:ascii="Calibri" w:hAnsi="Calibri"/>
          <w:b/>
          <w:color w:val="525866"/>
          <w:sz w:val="22"/>
        </w:rPr>
        <w:t xml:space="preserve">Ongoing — Electronics / AI Infrastructure Demand: </w:t>
      </w:r>
      <w:r>
        <w:rPr>
          <w:rFonts w:ascii="Calibri" w:hAnsi="Calibri"/>
          <w:color w:val="525866"/>
          <w:sz w:val="22"/>
        </w:rPr>
        <w:t xml:space="preserve">LIN is investing &gt;$1B of project backlog in ultra-high purity plants for advanced semiconductor fabs. Management expressed “high confidence” in announcing substantial new electronics projects in 2026, with backlog potentially reaching an “8-handle” by year-end. </w:t>
      </w:r>
      <w:r>
        <w:rPr>
          <w:rFonts w:ascii="Calibri" w:hAnsi="Calibri"/>
          <w:b/>
          <w:color w:val="525866"/>
          <w:sz w:val="22"/>
        </w:rPr>
        <w:t xml:space="preserve">Implication: </w:t>
      </w:r>
      <w:r>
        <w:rPr>
          <w:rFonts w:ascii="Calibri" w:hAnsi="Calibri"/>
          <w:color w:val="525866"/>
          <w:sz w:val="22"/>
        </w:rPr>
        <w:t>APD’s and ECL’s Q2/Q3 results confirm the electronics demand environment is robust; any new LIN electronics project announcement on the Q2 call would be a positive catalyst.</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one insider transaction was filed in the relevant window — a small open-market sale by a director in mid-May 2026. The transaction is modest in size and not clustered with other sales; </w:t>
      </w:r>
      <w:r>
        <w:rPr>
          <w:rFonts w:ascii="Calibri" w:hAnsi="Calibri"/>
          <w:b/>
          <w:color w:val="525866"/>
          <w:sz w:val="22"/>
        </w:rPr>
        <w:t>no unusual insider activity to flag heading into the Q2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Robert L. Wood</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880 shares</w:t>
            </w:r>
          </w:p>
        </w:tc>
        <w:tc>
          <w:tcPr>
            <w:tcW w:type="dxa" w:w="1440"/>
          </w:tcPr>
          <w:p>
            <w:r>
              <w:rPr>
                <w:rFonts w:ascii="Calibri" w:hAnsi="Calibri"/>
                <w:sz w:val="22"/>
              </w:rPr>
              <w:t>May 14, 2026</w:t>
            </w:r>
          </w:p>
        </w:tc>
        <w:tc>
          <w:tcPr>
            <w:tcW w:type="dxa" w:w="1440"/>
          </w:tcPr>
          <w:p>
            <w:r>
              <w:rPr>
                <w:rFonts w:ascii="Calibri" w:hAnsi="Calibri"/>
                <w:sz w:val="22"/>
              </w:rPr>
              <w:t>Discretionary sale; not under a 10b5-1 plan. Modest size relative to remaining holdings of ~13,583 shares. No clustering with other insider sales.</w:t>
            </w:r>
          </w:p>
        </w:tc>
      </w:tr>
    </w:tbl>
    <w:p>
      <w:r>
        <w:rPr>
          <w:rFonts w:ascii="Calibri" w:hAnsi="Calibri"/>
          <w:i/>
          <w:color w:val="525866"/>
          <w:sz w:val="22"/>
        </w:rPr>
        <w:t xml:space="preserve">Source: SEC Form 4 Filings Database. </w:t>
      </w:r>
      <w:r>
        <w:rPr>
          <w:rFonts w:ascii="Calibri" w:hAnsi="Calibri"/>
          <w:color w:val="525866"/>
          <w:sz w:val="22"/>
        </w:rPr>
        <w:t>No open-market purchases or 10b5-1 plan initiations were filed in the window. The single director sale is not a meaningful signal heading into the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